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FC1" w:rsidRPr="00E62C81" w:rsidRDefault="003F743F" w:rsidP="00E62C81">
      <w:pPr>
        <w:pStyle w:val="Ttulo"/>
        <w:spacing w:line="360" w:lineRule="auto"/>
        <w:rPr>
          <w:rFonts w:ascii="Garamond" w:hAnsi="Garamond"/>
          <w:i w:val="0"/>
          <w:sz w:val="30"/>
          <w:szCs w:val="30"/>
          <w:lang w:val="es-PE"/>
        </w:rPr>
      </w:pPr>
      <w:r w:rsidRPr="00E62C81">
        <w:rPr>
          <w:rFonts w:ascii="Garamond" w:hAnsi="Garamond"/>
          <w:i w:val="0"/>
          <w:sz w:val="30"/>
          <w:szCs w:val="30"/>
          <w:lang w:val="es-PE"/>
        </w:rPr>
        <w:t>El Arbitraje en las Contrataciones Públicas</w:t>
      </w:r>
      <w:r w:rsidR="00EB7496" w:rsidRPr="00E62C81">
        <w:rPr>
          <w:rFonts w:ascii="Garamond" w:hAnsi="Garamond"/>
          <w:i w:val="0"/>
          <w:sz w:val="30"/>
          <w:szCs w:val="30"/>
          <w:lang w:val="es-PE"/>
        </w:rPr>
        <w:t xml:space="preserve"> y la Descentralización Regional</w:t>
      </w:r>
      <w:r w:rsidR="00EE315D" w:rsidRPr="00E62C81">
        <w:rPr>
          <w:rFonts w:ascii="Garamond" w:hAnsi="Garamond"/>
          <w:i w:val="0"/>
          <w:sz w:val="30"/>
          <w:szCs w:val="30"/>
          <w:lang w:val="es-PE"/>
        </w:rPr>
        <w:t>.</w:t>
      </w:r>
    </w:p>
    <w:p w:rsidR="00846721" w:rsidRPr="005434E9" w:rsidRDefault="00846721" w:rsidP="00740E60">
      <w:pPr>
        <w:spacing w:line="360" w:lineRule="auto"/>
        <w:rPr>
          <w:rFonts w:ascii="Garamond" w:hAnsi="Garamond"/>
          <w:sz w:val="24"/>
          <w:szCs w:val="24"/>
        </w:rPr>
      </w:pPr>
    </w:p>
    <w:p w:rsidR="00846721" w:rsidRPr="00740E60" w:rsidRDefault="00846721" w:rsidP="00E830C5">
      <w:pPr>
        <w:pStyle w:val="p3"/>
        <w:tabs>
          <w:tab w:val="left" w:pos="0"/>
        </w:tabs>
        <w:spacing w:line="360" w:lineRule="auto"/>
        <w:ind w:left="288" w:firstLine="0"/>
        <w:rPr>
          <w:rFonts w:ascii="Garamond" w:hAnsi="Garamond"/>
        </w:rPr>
      </w:pPr>
      <w:bookmarkStart w:id="0" w:name="_GoBack"/>
      <w:r w:rsidRPr="00740E60">
        <w:rPr>
          <w:rFonts w:ascii="Garamond" w:hAnsi="Garamond"/>
          <w:b/>
        </w:rPr>
        <w:t>SUMARIO</w:t>
      </w:r>
      <w:proofErr w:type="gramStart"/>
      <w:r w:rsidRPr="00740E60">
        <w:rPr>
          <w:rFonts w:ascii="Garamond" w:hAnsi="Garamond"/>
          <w:b/>
        </w:rPr>
        <w:t>:1</w:t>
      </w:r>
      <w:proofErr w:type="gramEnd"/>
      <w:r w:rsidRPr="00740E60">
        <w:rPr>
          <w:rFonts w:ascii="Garamond" w:hAnsi="Garamond"/>
          <w:b/>
        </w:rPr>
        <w:t>.</w:t>
      </w:r>
      <w:r w:rsidRPr="00740E60">
        <w:rPr>
          <w:rFonts w:ascii="Garamond" w:hAnsi="Garamond"/>
        </w:rPr>
        <w:t xml:space="preserve"> Introducción   </w:t>
      </w:r>
      <w:r w:rsidRPr="00740E60">
        <w:rPr>
          <w:rFonts w:ascii="Garamond" w:hAnsi="Garamond"/>
          <w:b/>
        </w:rPr>
        <w:t>2.</w:t>
      </w:r>
      <w:r w:rsidRPr="00740E60">
        <w:rPr>
          <w:rFonts w:ascii="Garamond" w:hAnsi="Garamond"/>
        </w:rPr>
        <w:t xml:space="preserve"> Convenio Arbitral  </w:t>
      </w:r>
      <w:r w:rsidRPr="00740E60">
        <w:rPr>
          <w:rFonts w:ascii="Garamond" w:hAnsi="Garamond"/>
          <w:b/>
        </w:rPr>
        <w:t>3.</w:t>
      </w:r>
      <w:r w:rsidRPr="00740E60">
        <w:rPr>
          <w:rFonts w:ascii="Garamond" w:hAnsi="Garamond"/>
        </w:rPr>
        <w:t xml:space="preserve"> Las Partes </w:t>
      </w:r>
      <w:r w:rsidRPr="00740E60">
        <w:rPr>
          <w:rFonts w:ascii="Garamond" w:hAnsi="Garamond"/>
          <w:b/>
        </w:rPr>
        <w:t>4.</w:t>
      </w:r>
      <w:r w:rsidRPr="00740E60">
        <w:rPr>
          <w:rFonts w:ascii="Garamond" w:hAnsi="Garamond"/>
        </w:rPr>
        <w:t xml:space="preserve"> Los Árbitros  </w:t>
      </w:r>
      <w:r w:rsidRPr="00740E60">
        <w:rPr>
          <w:rFonts w:ascii="Garamond" w:hAnsi="Garamond"/>
          <w:b/>
        </w:rPr>
        <w:t xml:space="preserve">5. </w:t>
      </w:r>
      <w:r w:rsidR="000B5D49" w:rsidRPr="00740E60">
        <w:rPr>
          <w:rFonts w:ascii="Garamond" w:hAnsi="Garamond"/>
        </w:rPr>
        <w:t xml:space="preserve">La Recusación  </w:t>
      </w:r>
      <w:r w:rsidRPr="00740E60">
        <w:rPr>
          <w:rFonts w:ascii="Garamond" w:hAnsi="Garamond"/>
          <w:b/>
        </w:rPr>
        <w:t>6.</w:t>
      </w:r>
      <w:r w:rsidR="000B5D49" w:rsidRPr="00740E60">
        <w:rPr>
          <w:rFonts w:ascii="Garamond" w:hAnsi="Garamond"/>
        </w:rPr>
        <w:t xml:space="preserve">Procedimiento Arbitral  </w:t>
      </w:r>
      <w:r w:rsidRPr="00740E60">
        <w:rPr>
          <w:rFonts w:ascii="Garamond" w:hAnsi="Garamond"/>
          <w:b/>
        </w:rPr>
        <w:t>7.</w:t>
      </w:r>
      <w:r w:rsidRPr="00740E60">
        <w:rPr>
          <w:rFonts w:ascii="Garamond" w:hAnsi="Garamond"/>
        </w:rPr>
        <w:t xml:space="preserve"> El Laudo  </w:t>
      </w:r>
      <w:r w:rsidRPr="00740E60">
        <w:rPr>
          <w:rFonts w:ascii="Garamond" w:hAnsi="Garamond"/>
          <w:b/>
        </w:rPr>
        <w:t>8.</w:t>
      </w:r>
      <w:r w:rsidRPr="00740E60">
        <w:rPr>
          <w:rFonts w:ascii="Garamond" w:hAnsi="Garamond"/>
        </w:rPr>
        <w:t xml:space="preserve"> La Anulación del Laudo  </w:t>
      </w:r>
      <w:r w:rsidRPr="00740E60">
        <w:rPr>
          <w:rFonts w:ascii="Garamond" w:hAnsi="Garamond"/>
          <w:b/>
        </w:rPr>
        <w:t>9.</w:t>
      </w:r>
      <w:r w:rsidRPr="00740E60">
        <w:rPr>
          <w:rFonts w:ascii="Garamond" w:hAnsi="Garamond"/>
        </w:rPr>
        <w:t xml:space="preserve"> La Descentralización del Arbitraje. </w:t>
      </w:r>
      <w:r w:rsidRPr="00740E60">
        <w:rPr>
          <w:rFonts w:ascii="Garamond" w:hAnsi="Garamond"/>
          <w:b/>
        </w:rPr>
        <w:t>10.</w:t>
      </w:r>
      <w:r w:rsidRPr="00740E60">
        <w:rPr>
          <w:rFonts w:ascii="Garamond" w:hAnsi="Garamond"/>
        </w:rPr>
        <w:t xml:space="preserve"> Conclusiones </w:t>
      </w:r>
      <w:r w:rsidRPr="00740E60">
        <w:rPr>
          <w:rFonts w:ascii="Garamond" w:hAnsi="Garamond"/>
          <w:b/>
        </w:rPr>
        <w:t>11.</w:t>
      </w:r>
      <w:r w:rsidRPr="00740E60">
        <w:rPr>
          <w:rFonts w:ascii="Garamond" w:hAnsi="Garamond"/>
          <w:color w:val="000000"/>
        </w:rPr>
        <w:t>Bibliografía</w:t>
      </w:r>
      <w:r w:rsidRPr="00740E60">
        <w:rPr>
          <w:rFonts w:ascii="Garamond" w:hAnsi="Garamond"/>
          <w:b/>
          <w:color w:val="000000"/>
        </w:rPr>
        <w:t>.</w:t>
      </w:r>
      <w:bookmarkEnd w:id="0"/>
    </w:p>
    <w:p w:rsidR="00846721" w:rsidRPr="00740E60" w:rsidRDefault="00846721" w:rsidP="00740E60">
      <w:pPr>
        <w:spacing w:line="360" w:lineRule="auto"/>
        <w:rPr>
          <w:rFonts w:ascii="Garamond" w:hAnsi="Garamond"/>
          <w:sz w:val="24"/>
          <w:szCs w:val="24"/>
          <w:lang w:val="es-PE"/>
        </w:rPr>
      </w:pPr>
    </w:p>
    <w:p w:rsidR="003F743F" w:rsidRPr="00740E60" w:rsidRDefault="006916ED" w:rsidP="00E62C81">
      <w:pPr>
        <w:numPr>
          <w:ilvl w:val="0"/>
          <w:numId w:val="1"/>
        </w:numPr>
        <w:spacing w:line="360" w:lineRule="auto"/>
        <w:ind w:left="567" w:hanging="567"/>
        <w:rPr>
          <w:rFonts w:ascii="Garamond" w:hAnsi="Garamond"/>
          <w:b/>
          <w:sz w:val="24"/>
          <w:szCs w:val="24"/>
          <w:lang w:val="es-PE"/>
        </w:rPr>
      </w:pPr>
      <w:r w:rsidRPr="00E62C81">
        <w:rPr>
          <w:rFonts w:ascii="Garamond" w:hAnsi="Garamond"/>
          <w:b/>
          <w:sz w:val="24"/>
          <w:szCs w:val="24"/>
          <w:u w:val="single"/>
          <w:lang w:val="es-PE"/>
        </w:rPr>
        <w:t>INTRODUCCIÓN</w:t>
      </w:r>
      <w:r w:rsidRPr="00740E60">
        <w:rPr>
          <w:rFonts w:ascii="Garamond" w:hAnsi="Garamond"/>
          <w:b/>
          <w:sz w:val="24"/>
          <w:szCs w:val="24"/>
          <w:lang w:val="es-PE"/>
        </w:rPr>
        <w:t xml:space="preserve">.- </w:t>
      </w:r>
    </w:p>
    <w:p w:rsidR="007A2D20" w:rsidRPr="00740E60" w:rsidRDefault="007A2D20" w:rsidP="00740E60">
      <w:pPr>
        <w:spacing w:line="360" w:lineRule="auto"/>
        <w:rPr>
          <w:rFonts w:ascii="Garamond" w:hAnsi="Garamond"/>
          <w:sz w:val="24"/>
          <w:szCs w:val="24"/>
          <w:lang w:val="es-PE"/>
        </w:rPr>
      </w:pPr>
    </w:p>
    <w:p w:rsidR="00C640C4" w:rsidRPr="00740E60" w:rsidRDefault="003F743F" w:rsidP="00740E60">
      <w:pPr>
        <w:spacing w:line="360" w:lineRule="auto"/>
        <w:rPr>
          <w:rFonts w:ascii="Garamond" w:hAnsi="Garamond"/>
          <w:sz w:val="24"/>
          <w:szCs w:val="24"/>
          <w:lang w:val="es-PE"/>
        </w:rPr>
      </w:pPr>
      <w:r w:rsidRPr="00740E60">
        <w:rPr>
          <w:rFonts w:ascii="Garamond" w:hAnsi="Garamond"/>
          <w:sz w:val="24"/>
          <w:szCs w:val="24"/>
          <w:lang w:val="es-PE"/>
        </w:rPr>
        <w:t>El arbitraje en la Contratación Pública, e</w:t>
      </w:r>
      <w:r w:rsidR="00362A01" w:rsidRPr="00740E60">
        <w:rPr>
          <w:rFonts w:ascii="Garamond" w:hAnsi="Garamond"/>
          <w:sz w:val="24"/>
          <w:szCs w:val="24"/>
          <w:lang w:val="es-PE"/>
        </w:rPr>
        <w:t>s una herramienta mediante la</w:t>
      </w:r>
      <w:r w:rsidRPr="00740E60">
        <w:rPr>
          <w:rFonts w:ascii="Garamond" w:hAnsi="Garamond"/>
          <w:sz w:val="24"/>
          <w:szCs w:val="24"/>
          <w:lang w:val="es-PE"/>
        </w:rPr>
        <w:t xml:space="preserve"> cual se resuelven los conflictos</w:t>
      </w:r>
      <w:r w:rsidR="00EE315D" w:rsidRPr="00740E60">
        <w:rPr>
          <w:rFonts w:ascii="Garamond" w:hAnsi="Garamond"/>
          <w:sz w:val="24"/>
          <w:szCs w:val="24"/>
          <w:lang w:val="es-PE"/>
        </w:rPr>
        <w:t xml:space="preserve"> derivados de los contratos en obras, bienes, servicios, consultoría,</w:t>
      </w:r>
      <w:r w:rsidRPr="00740E60">
        <w:rPr>
          <w:rFonts w:ascii="Garamond" w:hAnsi="Garamond"/>
          <w:sz w:val="24"/>
          <w:szCs w:val="24"/>
          <w:lang w:val="es-PE"/>
        </w:rPr>
        <w:t xml:space="preserve"> entre un particular y el Estado</w:t>
      </w:r>
      <w:r w:rsidRPr="00740E60">
        <w:rPr>
          <w:rStyle w:val="Refdenotaalpie"/>
          <w:rFonts w:ascii="Garamond" w:hAnsi="Garamond"/>
          <w:sz w:val="24"/>
          <w:szCs w:val="24"/>
          <w:lang w:val="es-PE"/>
        </w:rPr>
        <w:footnoteReference w:id="2"/>
      </w:r>
      <w:r w:rsidRPr="00740E60">
        <w:rPr>
          <w:rFonts w:ascii="Garamond" w:hAnsi="Garamond"/>
          <w:sz w:val="24"/>
          <w:szCs w:val="24"/>
          <w:lang w:val="es-PE"/>
        </w:rPr>
        <w:t xml:space="preserve"> y que se circunscriben a la decisión de un tercero, denominado Árbitro, también llamado Juez Privado, y </w:t>
      </w:r>
      <w:r w:rsidR="00EB7496" w:rsidRPr="00740E60">
        <w:rPr>
          <w:rFonts w:ascii="Garamond" w:hAnsi="Garamond"/>
          <w:sz w:val="24"/>
          <w:szCs w:val="24"/>
          <w:lang w:val="es-PE"/>
        </w:rPr>
        <w:t xml:space="preserve">que dicha </w:t>
      </w:r>
      <w:r w:rsidR="00C640C4" w:rsidRPr="00740E60">
        <w:rPr>
          <w:rFonts w:ascii="Garamond" w:hAnsi="Garamond"/>
          <w:sz w:val="24"/>
          <w:szCs w:val="24"/>
          <w:lang w:val="es-PE"/>
        </w:rPr>
        <w:t xml:space="preserve">decisión </w:t>
      </w:r>
      <w:r w:rsidR="00060EF7">
        <w:rPr>
          <w:rFonts w:ascii="Garamond" w:hAnsi="Garamond"/>
          <w:sz w:val="24"/>
          <w:szCs w:val="24"/>
          <w:lang w:val="es-PE"/>
        </w:rPr>
        <w:t>es</w:t>
      </w:r>
      <w:r w:rsidR="00EB7496" w:rsidRPr="00740E60">
        <w:rPr>
          <w:rFonts w:ascii="Garamond" w:hAnsi="Garamond"/>
          <w:sz w:val="24"/>
          <w:szCs w:val="24"/>
          <w:lang w:val="es-PE"/>
        </w:rPr>
        <w:t xml:space="preserve"> denomina</w:t>
      </w:r>
      <w:r w:rsidR="00060EF7">
        <w:rPr>
          <w:rFonts w:ascii="Garamond" w:hAnsi="Garamond"/>
          <w:sz w:val="24"/>
          <w:szCs w:val="24"/>
          <w:lang w:val="es-PE"/>
        </w:rPr>
        <w:t>da</w:t>
      </w:r>
      <w:r w:rsidR="00C640C4" w:rsidRPr="00740E60">
        <w:rPr>
          <w:rFonts w:ascii="Garamond" w:hAnsi="Garamond"/>
          <w:sz w:val="24"/>
          <w:szCs w:val="24"/>
          <w:lang w:val="es-PE"/>
        </w:rPr>
        <w:t xml:space="preserve"> Laudo Arbitral.</w:t>
      </w:r>
    </w:p>
    <w:p w:rsidR="00C640C4" w:rsidRPr="00740E60" w:rsidRDefault="00C640C4" w:rsidP="00740E60">
      <w:pPr>
        <w:spacing w:line="360" w:lineRule="auto"/>
        <w:rPr>
          <w:rFonts w:ascii="Garamond" w:hAnsi="Garamond"/>
          <w:sz w:val="24"/>
          <w:szCs w:val="24"/>
          <w:lang w:val="es-PE"/>
        </w:rPr>
      </w:pPr>
    </w:p>
    <w:p w:rsidR="0056603E" w:rsidRPr="00740E60" w:rsidRDefault="007B77B3" w:rsidP="00740E60">
      <w:pPr>
        <w:spacing w:line="360" w:lineRule="auto"/>
        <w:rPr>
          <w:rFonts w:ascii="Garamond" w:hAnsi="Garamond"/>
          <w:sz w:val="24"/>
          <w:szCs w:val="24"/>
          <w:lang w:val="es-PE"/>
        </w:rPr>
      </w:pPr>
      <w:r w:rsidRPr="00740E60">
        <w:rPr>
          <w:rFonts w:ascii="Garamond" w:hAnsi="Garamond"/>
          <w:sz w:val="24"/>
          <w:szCs w:val="24"/>
          <w:lang w:val="es-PE"/>
        </w:rPr>
        <w:t>En tal sentido</w:t>
      </w:r>
      <w:r w:rsidR="00C640C4" w:rsidRPr="00740E60">
        <w:rPr>
          <w:rFonts w:ascii="Garamond" w:hAnsi="Garamond"/>
          <w:sz w:val="24"/>
          <w:szCs w:val="24"/>
          <w:lang w:val="es-PE"/>
        </w:rPr>
        <w:t xml:space="preserve">, el Arbitraje tiene su fundamento legal en la Constitución Política del </w:t>
      </w:r>
      <w:r w:rsidR="00011055" w:rsidRPr="00740E60">
        <w:rPr>
          <w:rFonts w:ascii="Garamond" w:hAnsi="Garamond"/>
          <w:sz w:val="24"/>
          <w:szCs w:val="24"/>
          <w:lang w:val="es-PE"/>
        </w:rPr>
        <w:t>Perú, que</w:t>
      </w:r>
      <w:r w:rsidR="00C640C4" w:rsidRPr="00740E60">
        <w:rPr>
          <w:rFonts w:ascii="Garamond" w:hAnsi="Garamond"/>
          <w:sz w:val="24"/>
          <w:szCs w:val="24"/>
          <w:lang w:val="es-PE"/>
        </w:rPr>
        <w:t xml:space="preserve"> reconoce al arbitraje como una jurisdicción de naturaleza excepcional</w:t>
      </w:r>
      <w:r w:rsidR="00C640C4" w:rsidRPr="00740E60">
        <w:rPr>
          <w:rStyle w:val="Refdenotaalpie"/>
          <w:rFonts w:ascii="Garamond" w:hAnsi="Garamond"/>
          <w:sz w:val="24"/>
          <w:szCs w:val="24"/>
          <w:lang w:val="es-PE"/>
        </w:rPr>
        <w:footnoteReference w:id="3"/>
      </w:r>
      <w:r w:rsidR="00C640C4" w:rsidRPr="00740E60">
        <w:rPr>
          <w:rFonts w:ascii="Garamond" w:hAnsi="Garamond"/>
          <w:sz w:val="24"/>
          <w:szCs w:val="24"/>
          <w:lang w:val="es-PE"/>
        </w:rPr>
        <w:t xml:space="preserve"> e inclusive el Tribunal Constitucional reconoc</w:t>
      </w:r>
      <w:r w:rsidR="007A2D20" w:rsidRPr="00740E60">
        <w:rPr>
          <w:rFonts w:ascii="Garamond" w:hAnsi="Garamond"/>
          <w:sz w:val="24"/>
          <w:szCs w:val="24"/>
          <w:lang w:val="es-PE"/>
        </w:rPr>
        <w:t xml:space="preserve">e </w:t>
      </w:r>
      <w:r w:rsidR="00C640C4" w:rsidRPr="00740E60">
        <w:rPr>
          <w:rFonts w:ascii="Garamond" w:hAnsi="Garamond"/>
          <w:sz w:val="24"/>
          <w:szCs w:val="24"/>
          <w:lang w:val="es-PE"/>
        </w:rPr>
        <w:t>en reiteradas jurisprudencia</w:t>
      </w:r>
      <w:r w:rsidR="0056603E" w:rsidRPr="00740E60">
        <w:rPr>
          <w:rFonts w:ascii="Garamond" w:hAnsi="Garamond"/>
          <w:sz w:val="24"/>
          <w:szCs w:val="24"/>
          <w:lang w:val="es-PE"/>
        </w:rPr>
        <w:t>s</w:t>
      </w:r>
      <w:r w:rsidR="00C640C4" w:rsidRPr="00740E60">
        <w:rPr>
          <w:rFonts w:ascii="Garamond" w:hAnsi="Garamond"/>
          <w:sz w:val="24"/>
          <w:szCs w:val="24"/>
          <w:lang w:val="es-PE"/>
        </w:rPr>
        <w:t xml:space="preserve"> que el arbitraje goza de independencia jurisdiccional.</w:t>
      </w:r>
    </w:p>
    <w:p w:rsidR="003F21BD" w:rsidRPr="00740E60" w:rsidRDefault="003F21BD" w:rsidP="00740E60">
      <w:pPr>
        <w:spacing w:line="360" w:lineRule="auto"/>
        <w:rPr>
          <w:rFonts w:ascii="Garamond" w:hAnsi="Garamond"/>
          <w:sz w:val="24"/>
          <w:szCs w:val="24"/>
          <w:lang w:val="es-PE"/>
        </w:rPr>
      </w:pPr>
    </w:p>
    <w:p w:rsidR="003F21BD" w:rsidRPr="00740E60" w:rsidRDefault="003F21BD" w:rsidP="00740E60">
      <w:pPr>
        <w:spacing w:line="360" w:lineRule="auto"/>
        <w:rPr>
          <w:rFonts w:ascii="Garamond" w:hAnsi="Garamond"/>
          <w:sz w:val="24"/>
          <w:szCs w:val="24"/>
          <w:lang w:val="es-PE"/>
        </w:rPr>
      </w:pPr>
      <w:r w:rsidRPr="00740E60">
        <w:rPr>
          <w:rFonts w:ascii="Garamond" w:hAnsi="Garamond"/>
          <w:sz w:val="24"/>
          <w:szCs w:val="24"/>
          <w:lang w:val="es-PE"/>
        </w:rPr>
        <w:t xml:space="preserve">Para el </w:t>
      </w:r>
      <w:r w:rsidR="006B5F32">
        <w:rPr>
          <w:rFonts w:ascii="Garamond" w:hAnsi="Garamond"/>
          <w:sz w:val="24"/>
          <w:szCs w:val="24"/>
          <w:lang w:val="es-PE"/>
        </w:rPr>
        <w:t>a</w:t>
      </w:r>
      <w:r w:rsidRPr="00740E60">
        <w:rPr>
          <w:rFonts w:ascii="Garamond" w:hAnsi="Garamond"/>
          <w:sz w:val="24"/>
          <w:szCs w:val="24"/>
          <w:lang w:val="es-PE"/>
        </w:rPr>
        <w:t xml:space="preserve">utor </w:t>
      </w:r>
      <w:r w:rsidRPr="006B5F32">
        <w:rPr>
          <w:rFonts w:ascii="Garamond" w:hAnsi="Garamond"/>
          <w:sz w:val="24"/>
          <w:szCs w:val="24"/>
          <w:lang w:val="es-PE"/>
        </w:rPr>
        <w:t xml:space="preserve">francés </w:t>
      </w:r>
      <w:r w:rsidR="00060EF7" w:rsidRPr="00740E60">
        <w:rPr>
          <w:rFonts w:ascii="Garamond" w:hAnsi="Garamond"/>
          <w:b/>
          <w:sz w:val="24"/>
          <w:szCs w:val="24"/>
          <w:lang w:val="es-PE"/>
        </w:rPr>
        <w:t xml:space="preserve">ROBERT </w:t>
      </w:r>
      <w:r w:rsidRPr="00740E60">
        <w:rPr>
          <w:rFonts w:ascii="Garamond" w:hAnsi="Garamond"/>
          <w:b/>
          <w:sz w:val="24"/>
          <w:szCs w:val="24"/>
          <w:lang w:val="es-PE"/>
        </w:rPr>
        <w:t>Jean</w:t>
      </w:r>
      <w:r w:rsidR="00D57FFC" w:rsidRPr="00740E60">
        <w:rPr>
          <w:rStyle w:val="Refdenotaalpie"/>
          <w:rFonts w:ascii="Garamond" w:hAnsi="Garamond"/>
          <w:sz w:val="24"/>
          <w:szCs w:val="24"/>
          <w:lang w:val="es-PE"/>
        </w:rPr>
        <w:footnoteReference w:id="4"/>
      </w:r>
      <w:r w:rsidRPr="00740E60">
        <w:rPr>
          <w:rFonts w:ascii="Garamond" w:hAnsi="Garamond"/>
          <w:sz w:val="24"/>
          <w:szCs w:val="24"/>
          <w:lang w:val="es-PE"/>
        </w:rPr>
        <w:t xml:space="preserve">, es la constitución de una justicia privada por la cual los litigios son sustraídos de la jurisdicción común, para ser resueltos por individuos revestidos, por las circunstancias, de la misión de juzgar. </w:t>
      </w:r>
    </w:p>
    <w:p w:rsidR="003F21BD" w:rsidRPr="00740E60" w:rsidRDefault="003F21BD" w:rsidP="00740E60">
      <w:pPr>
        <w:spacing w:line="360" w:lineRule="auto"/>
        <w:rPr>
          <w:rFonts w:ascii="Garamond" w:hAnsi="Garamond"/>
          <w:sz w:val="24"/>
          <w:szCs w:val="24"/>
          <w:lang w:val="es-PE"/>
        </w:rPr>
      </w:pPr>
    </w:p>
    <w:p w:rsidR="003F21BD" w:rsidRPr="00740E60" w:rsidRDefault="006B5F32" w:rsidP="00740E60">
      <w:pPr>
        <w:spacing w:line="360" w:lineRule="auto"/>
        <w:rPr>
          <w:rFonts w:ascii="Garamond" w:hAnsi="Garamond"/>
          <w:sz w:val="24"/>
          <w:szCs w:val="24"/>
          <w:lang w:val="es-PE"/>
        </w:rPr>
      </w:pPr>
      <w:r>
        <w:rPr>
          <w:rFonts w:ascii="Garamond" w:hAnsi="Garamond"/>
          <w:sz w:val="24"/>
          <w:szCs w:val="24"/>
          <w:lang w:val="es-PE"/>
        </w:rPr>
        <w:lastRenderedPageBreak/>
        <w:t xml:space="preserve">Según los diversos autores, especialistas en estos temas, </w:t>
      </w:r>
      <w:r w:rsidR="003F21BD" w:rsidRPr="00740E60">
        <w:rPr>
          <w:rFonts w:ascii="Garamond" w:hAnsi="Garamond"/>
          <w:sz w:val="24"/>
          <w:szCs w:val="24"/>
          <w:lang w:val="es-PE"/>
        </w:rPr>
        <w:t xml:space="preserve">quién se asemeja más a la definición sobre arbitraje, es  </w:t>
      </w:r>
      <w:r w:rsidRPr="006B5F32">
        <w:rPr>
          <w:rFonts w:ascii="Garamond" w:hAnsi="Garamond"/>
          <w:b/>
          <w:sz w:val="24"/>
          <w:szCs w:val="24"/>
          <w:lang w:val="es-PE"/>
        </w:rPr>
        <w:t>AYLWIN AZÓCAR</w:t>
      </w:r>
      <w:r w:rsidR="003F21BD" w:rsidRPr="00740E60">
        <w:rPr>
          <w:rFonts w:ascii="Garamond" w:hAnsi="Garamond"/>
          <w:sz w:val="24"/>
          <w:szCs w:val="24"/>
          <w:lang w:val="es-PE"/>
        </w:rPr>
        <w:t xml:space="preserve">Patricio, </w:t>
      </w:r>
      <w:r>
        <w:rPr>
          <w:rFonts w:ascii="Garamond" w:hAnsi="Garamond"/>
          <w:sz w:val="24"/>
          <w:szCs w:val="24"/>
          <w:lang w:val="es-PE"/>
        </w:rPr>
        <w:t xml:space="preserve">quien </w:t>
      </w:r>
      <w:r w:rsidR="003F21BD" w:rsidRPr="00740E60">
        <w:rPr>
          <w:rFonts w:ascii="Garamond" w:hAnsi="Garamond"/>
          <w:sz w:val="24"/>
          <w:szCs w:val="24"/>
          <w:lang w:val="es-PE"/>
        </w:rPr>
        <w:t>lo define como el juicio al que las partes concurren de común acuerdo o por voluntad del legislador, y que se verifica ante tribunales especiales, distintos de los establecidos permanentemente por el Estado, elegidos por los propios interesados o por la autoridad judicial en subsidio, o por un tercero en determinadas ocasiones.</w:t>
      </w:r>
      <w:r w:rsidR="00362A01" w:rsidRPr="00740E60">
        <w:rPr>
          <w:rStyle w:val="Refdenotaalpie"/>
          <w:rFonts w:ascii="Garamond" w:hAnsi="Garamond"/>
          <w:sz w:val="24"/>
          <w:szCs w:val="24"/>
          <w:lang w:val="es-PE"/>
        </w:rPr>
        <w:footnoteReference w:id="5"/>
      </w:r>
    </w:p>
    <w:p w:rsidR="000B5D49" w:rsidRPr="00740E60" w:rsidRDefault="000B5D49" w:rsidP="00740E60">
      <w:pPr>
        <w:spacing w:line="360" w:lineRule="auto"/>
        <w:rPr>
          <w:rFonts w:ascii="Garamond" w:hAnsi="Garamond"/>
          <w:sz w:val="24"/>
          <w:szCs w:val="24"/>
          <w:lang w:val="es-PE"/>
        </w:rPr>
      </w:pPr>
    </w:p>
    <w:p w:rsidR="009B084E" w:rsidRPr="00740E60" w:rsidRDefault="009B084E" w:rsidP="00E62C81">
      <w:pPr>
        <w:numPr>
          <w:ilvl w:val="0"/>
          <w:numId w:val="1"/>
        </w:numPr>
        <w:spacing w:line="360" w:lineRule="auto"/>
        <w:ind w:left="567" w:hanging="567"/>
        <w:rPr>
          <w:rFonts w:ascii="Garamond" w:hAnsi="Garamond"/>
          <w:b/>
          <w:sz w:val="24"/>
          <w:szCs w:val="24"/>
          <w:lang w:val="es-PE"/>
        </w:rPr>
      </w:pPr>
      <w:r w:rsidRPr="00E62C81">
        <w:rPr>
          <w:rFonts w:ascii="Garamond" w:hAnsi="Garamond"/>
          <w:b/>
          <w:sz w:val="24"/>
          <w:szCs w:val="24"/>
          <w:u w:val="single"/>
          <w:lang w:val="es-PE"/>
        </w:rPr>
        <w:t>EL CONVENIO ARBITRAL</w:t>
      </w:r>
      <w:r w:rsidRPr="00740E60">
        <w:rPr>
          <w:rFonts w:ascii="Garamond" w:hAnsi="Garamond"/>
          <w:b/>
          <w:sz w:val="24"/>
          <w:szCs w:val="24"/>
          <w:lang w:val="es-PE"/>
        </w:rPr>
        <w:t>.-</w:t>
      </w:r>
    </w:p>
    <w:p w:rsidR="00BF3171" w:rsidRPr="00740E60" w:rsidRDefault="00BF3171" w:rsidP="00740E60">
      <w:pPr>
        <w:spacing w:line="360" w:lineRule="auto"/>
        <w:ind w:left="720"/>
        <w:rPr>
          <w:rFonts w:ascii="Garamond" w:hAnsi="Garamond"/>
          <w:b/>
          <w:sz w:val="24"/>
          <w:szCs w:val="24"/>
          <w:lang w:val="es-PE"/>
        </w:rPr>
      </w:pPr>
    </w:p>
    <w:p w:rsidR="009B084E" w:rsidRPr="00740E60" w:rsidRDefault="009B084E" w:rsidP="00740E60">
      <w:pPr>
        <w:spacing w:line="360" w:lineRule="auto"/>
        <w:rPr>
          <w:rFonts w:ascii="Garamond" w:hAnsi="Garamond"/>
          <w:sz w:val="24"/>
          <w:szCs w:val="24"/>
          <w:lang w:val="es-PE"/>
        </w:rPr>
      </w:pPr>
      <w:r w:rsidRPr="00740E60">
        <w:rPr>
          <w:rFonts w:ascii="Garamond" w:hAnsi="Garamond"/>
          <w:sz w:val="24"/>
          <w:szCs w:val="24"/>
          <w:lang w:val="es-PE"/>
        </w:rPr>
        <w:t xml:space="preserve">En todo contrato </w:t>
      </w:r>
      <w:r w:rsidR="00496C2F" w:rsidRPr="00740E60">
        <w:rPr>
          <w:rFonts w:ascii="Garamond" w:hAnsi="Garamond"/>
          <w:sz w:val="24"/>
          <w:szCs w:val="24"/>
          <w:lang w:val="es-PE"/>
        </w:rPr>
        <w:t>celebrado entre un particular o denominado Contratista, y el Estado o denominado Entidad, existe la cláusula denomi</w:t>
      </w:r>
      <w:r w:rsidR="00090B13" w:rsidRPr="00740E60">
        <w:rPr>
          <w:rFonts w:ascii="Garamond" w:hAnsi="Garamond"/>
          <w:sz w:val="24"/>
          <w:szCs w:val="24"/>
          <w:lang w:val="es-PE"/>
        </w:rPr>
        <w:t>nada</w:t>
      </w:r>
      <w:r w:rsidR="00496C2F" w:rsidRPr="00740E60">
        <w:rPr>
          <w:rFonts w:ascii="Garamond" w:hAnsi="Garamond"/>
          <w:sz w:val="24"/>
          <w:szCs w:val="24"/>
          <w:lang w:val="es-PE"/>
        </w:rPr>
        <w:t xml:space="preserve"> solución de controversias, </w:t>
      </w:r>
      <w:r w:rsidR="006B5F32">
        <w:rPr>
          <w:rFonts w:ascii="Garamond" w:hAnsi="Garamond"/>
          <w:sz w:val="24"/>
          <w:szCs w:val="24"/>
          <w:lang w:val="es-PE"/>
        </w:rPr>
        <w:t>el cual</w:t>
      </w:r>
      <w:r w:rsidR="00496C2F" w:rsidRPr="00740E60">
        <w:rPr>
          <w:rFonts w:ascii="Garamond" w:hAnsi="Garamond"/>
          <w:sz w:val="24"/>
          <w:szCs w:val="24"/>
          <w:lang w:val="es-PE"/>
        </w:rPr>
        <w:t xml:space="preserve"> lo entendemos como la cláusula arbitral, </w:t>
      </w:r>
      <w:r w:rsidR="00090B13" w:rsidRPr="00740E60">
        <w:rPr>
          <w:rFonts w:ascii="Garamond" w:hAnsi="Garamond"/>
          <w:sz w:val="24"/>
          <w:szCs w:val="24"/>
          <w:lang w:val="es-PE"/>
        </w:rPr>
        <w:t xml:space="preserve">que viene a hacer </w:t>
      </w:r>
      <w:r w:rsidR="00496C2F" w:rsidRPr="00740E60">
        <w:rPr>
          <w:rFonts w:ascii="Garamond" w:hAnsi="Garamond"/>
          <w:sz w:val="24"/>
          <w:szCs w:val="24"/>
          <w:lang w:val="es-PE"/>
        </w:rPr>
        <w:t xml:space="preserve">el núcleo o el origen para iniciar o activar el arbitraje, </w:t>
      </w:r>
      <w:r w:rsidR="00090B13" w:rsidRPr="00740E60">
        <w:rPr>
          <w:rFonts w:ascii="Garamond" w:hAnsi="Garamond"/>
          <w:sz w:val="24"/>
          <w:szCs w:val="24"/>
          <w:lang w:val="es-PE"/>
        </w:rPr>
        <w:t>por cuanto de su contenido o redacción podemos determinar si estamos ante un arbitraje Ad</w:t>
      </w:r>
      <w:r w:rsidR="006B5F32">
        <w:rPr>
          <w:rFonts w:ascii="Garamond" w:hAnsi="Garamond"/>
          <w:sz w:val="24"/>
          <w:szCs w:val="24"/>
          <w:lang w:val="es-PE"/>
        </w:rPr>
        <w:t>-</w:t>
      </w:r>
      <w:r w:rsidR="00090B13" w:rsidRPr="00740E60">
        <w:rPr>
          <w:rFonts w:ascii="Garamond" w:hAnsi="Garamond"/>
          <w:sz w:val="24"/>
          <w:szCs w:val="24"/>
          <w:lang w:val="es-PE"/>
        </w:rPr>
        <w:t>Hoc o un arbitraje institucional, para tal efecto, la legislación vigente, Decreto Legislativo N° 1017- Ley de Contrataciones del Estado, Decreto Supremo N° 184-2008-EF- Reglamento de la Ley de Contrataciones del Estado y Decreto Legisla</w:t>
      </w:r>
      <w:r w:rsidR="006E5864" w:rsidRPr="00740E60">
        <w:rPr>
          <w:rFonts w:ascii="Garamond" w:hAnsi="Garamond"/>
          <w:sz w:val="24"/>
          <w:szCs w:val="24"/>
          <w:lang w:val="es-PE"/>
        </w:rPr>
        <w:t>tivo N° 1071- Ley de Arbitraje, establece</w:t>
      </w:r>
      <w:r w:rsidR="00011055" w:rsidRPr="00740E60">
        <w:rPr>
          <w:rFonts w:ascii="Garamond" w:hAnsi="Garamond"/>
          <w:sz w:val="24"/>
          <w:szCs w:val="24"/>
          <w:lang w:val="es-PE"/>
        </w:rPr>
        <w:t>n</w:t>
      </w:r>
      <w:r w:rsidR="006E5864" w:rsidRPr="00740E60">
        <w:rPr>
          <w:rFonts w:ascii="Garamond" w:hAnsi="Garamond"/>
          <w:sz w:val="24"/>
          <w:szCs w:val="24"/>
          <w:lang w:val="es-PE"/>
        </w:rPr>
        <w:t xml:space="preserve"> el procedimiento para cada uno de ellos.</w:t>
      </w:r>
    </w:p>
    <w:p w:rsidR="006916ED" w:rsidRPr="00740E60" w:rsidRDefault="006916ED" w:rsidP="00740E60">
      <w:pPr>
        <w:spacing w:line="360" w:lineRule="auto"/>
        <w:rPr>
          <w:rFonts w:ascii="Garamond" w:hAnsi="Garamond"/>
          <w:sz w:val="24"/>
          <w:szCs w:val="24"/>
          <w:lang w:val="es-PE"/>
        </w:rPr>
      </w:pPr>
    </w:p>
    <w:p w:rsidR="006916ED" w:rsidRPr="00740E60" w:rsidRDefault="00EB7496" w:rsidP="00740E60">
      <w:pPr>
        <w:spacing w:line="360" w:lineRule="auto"/>
        <w:rPr>
          <w:rFonts w:ascii="Garamond" w:hAnsi="Garamond"/>
          <w:sz w:val="24"/>
          <w:szCs w:val="24"/>
          <w:lang w:val="es-PE"/>
        </w:rPr>
      </w:pPr>
      <w:r w:rsidRPr="00740E60">
        <w:rPr>
          <w:rFonts w:ascii="Garamond" w:hAnsi="Garamond"/>
          <w:sz w:val="24"/>
          <w:szCs w:val="24"/>
          <w:lang w:val="es-PE"/>
        </w:rPr>
        <w:t>En efecto, el artículo 52°</w:t>
      </w:r>
      <w:r w:rsidR="006916ED" w:rsidRPr="00740E60">
        <w:rPr>
          <w:rFonts w:ascii="Garamond" w:hAnsi="Garamond"/>
          <w:sz w:val="24"/>
          <w:szCs w:val="24"/>
          <w:lang w:val="es-PE"/>
        </w:rPr>
        <w:t xml:space="preserve"> de la Ley de Contrataciones del Estado, establece cuando estamos ante una controversia y </w:t>
      </w:r>
      <w:r w:rsidR="006E5864" w:rsidRPr="00740E60">
        <w:rPr>
          <w:rFonts w:ascii="Garamond" w:hAnsi="Garamond"/>
          <w:sz w:val="24"/>
          <w:szCs w:val="24"/>
          <w:lang w:val="es-PE"/>
        </w:rPr>
        <w:t xml:space="preserve">en qué situación se da </w:t>
      </w:r>
      <w:r w:rsidR="006916ED" w:rsidRPr="00740E60">
        <w:rPr>
          <w:rFonts w:ascii="Garamond" w:hAnsi="Garamond"/>
          <w:sz w:val="24"/>
          <w:szCs w:val="24"/>
          <w:lang w:val="es-PE"/>
        </w:rPr>
        <w:t xml:space="preserve">inicio o </w:t>
      </w:r>
      <w:r w:rsidR="006E5864" w:rsidRPr="00740E60">
        <w:rPr>
          <w:rFonts w:ascii="Garamond" w:hAnsi="Garamond"/>
          <w:sz w:val="24"/>
          <w:szCs w:val="24"/>
          <w:lang w:val="es-PE"/>
        </w:rPr>
        <w:t xml:space="preserve">se activa </w:t>
      </w:r>
      <w:r w:rsidR="006916ED" w:rsidRPr="00740E60">
        <w:rPr>
          <w:rFonts w:ascii="Garamond" w:hAnsi="Garamond"/>
          <w:sz w:val="24"/>
          <w:szCs w:val="24"/>
          <w:lang w:val="es-PE"/>
        </w:rPr>
        <w:t xml:space="preserve">el arbitraje, </w:t>
      </w:r>
      <w:r w:rsidR="006E5864" w:rsidRPr="00740E60">
        <w:rPr>
          <w:rFonts w:ascii="Garamond" w:hAnsi="Garamond"/>
          <w:sz w:val="24"/>
          <w:szCs w:val="24"/>
          <w:lang w:val="es-PE"/>
        </w:rPr>
        <w:t>es decir, cuando hay un conflicto o una controversia</w:t>
      </w:r>
      <w:r w:rsidR="006916ED" w:rsidRPr="00740E60">
        <w:rPr>
          <w:rFonts w:ascii="Garamond" w:hAnsi="Garamond"/>
          <w:sz w:val="24"/>
          <w:szCs w:val="24"/>
          <w:lang w:val="es-PE"/>
        </w:rPr>
        <w:t xml:space="preserve"> que surjan entre las partes sobre la ejecución, interpretación, resolución, inexistencia, ineficacia, nulidad o invalidez del contrato, </w:t>
      </w:r>
      <w:r w:rsidR="006E5864" w:rsidRPr="00740E60">
        <w:rPr>
          <w:rFonts w:ascii="Garamond" w:hAnsi="Garamond"/>
          <w:sz w:val="24"/>
          <w:szCs w:val="24"/>
          <w:lang w:val="es-PE"/>
        </w:rPr>
        <w:t xml:space="preserve">y el procedimiento </w:t>
      </w:r>
      <w:r w:rsidR="000969B7" w:rsidRPr="00740E60">
        <w:rPr>
          <w:rFonts w:ascii="Garamond" w:hAnsi="Garamond"/>
          <w:sz w:val="24"/>
          <w:szCs w:val="24"/>
          <w:lang w:val="es-PE"/>
        </w:rPr>
        <w:t xml:space="preserve">lo establece el Reglamento de la Ley de Contrataciones del Estado a partir del artículo 214 y siguientes. </w:t>
      </w:r>
    </w:p>
    <w:p w:rsidR="000969B7" w:rsidRPr="00740E60" w:rsidRDefault="000969B7" w:rsidP="00740E60">
      <w:pPr>
        <w:spacing w:line="360" w:lineRule="auto"/>
        <w:rPr>
          <w:rFonts w:ascii="Garamond" w:hAnsi="Garamond"/>
          <w:sz w:val="24"/>
          <w:szCs w:val="24"/>
          <w:lang w:val="es-PE"/>
        </w:rPr>
      </w:pPr>
    </w:p>
    <w:p w:rsidR="006B5F32" w:rsidRDefault="000969B7" w:rsidP="00740E60">
      <w:pPr>
        <w:spacing w:line="360" w:lineRule="auto"/>
        <w:rPr>
          <w:rFonts w:ascii="Garamond" w:hAnsi="Garamond"/>
          <w:sz w:val="24"/>
          <w:szCs w:val="24"/>
          <w:lang w:val="es-PE"/>
        </w:rPr>
      </w:pPr>
      <w:r w:rsidRPr="00740E60">
        <w:rPr>
          <w:rFonts w:ascii="Garamond" w:hAnsi="Garamond"/>
          <w:sz w:val="24"/>
          <w:szCs w:val="24"/>
          <w:lang w:val="es-PE"/>
        </w:rPr>
        <w:t>Decimos que estamos ante un arbitraje Ad Hoc, cuando en la cláusula arbitral o cláusula de solución de controversias</w:t>
      </w:r>
      <w:r w:rsidR="00BB6AD0" w:rsidRPr="00740E60">
        <w:rPr>
          <w:rFonts w:ascii="Garamond" w:hAnsi="Garamond"/>
          <w:sz w:val="24"/>
          <w:szCs w:val="24"/>
          <w:lang w:val="es-PE"/>
        </w:rPr>
        <w:t xml:space="preserve"> del contrato</w:t>
      </w:r>
      <w:r w:rsidRPr="00740E60">
        <w:rPr>
          <w:rFonts w:ascii="Garamond" w:hAnsi="Garamond"/>
          <w:sz w:val="24"/>
          <w:szCs w:val="24"/>
          <w:lang w:val="es-PE"/>
        </w:rPr>
        <w:t xml:space="preserve">, las partes no </w:t>
      </w:r>
      <w:r w:rsidR="00BB6AD0" w:rsidRPr="00740E60">
        <w:rPr>
          <w:rFonts w:ascii="Garamond" w:hAnsi="Garamond"/>
          <w:sz w:val="24"/>
          <w:szCs w:val="24"/>
          <w:lang w:val="es-PE"/>
        </w:rPr>
        <w:t>precisan que el arbitraje es institucional,  en tal caso, el arbitraje se inicia con la solicitud de arbitraje dirigi</w:t>
      </w:r>
      <w:r w:rsidR="00AB30B7" w:rsidRPr="00740E60">
        <w:rPr>
          <w:rFonts w:ascii="Garamond" w:hAnsi="Garamond"/>
          <w:sz w:val="24"/>
          <w:szCs w:val="24"/>
          <w:lang w:val="es-PE"/>
        </w:rPr>
        <w:t>da  a la otra parte por escrito</w:t>
      </w:r>
      <w:r w:rsidR="00EB7496" w:rsidRPr="00740E60">
        <w:rPr>
          <w:rStyle w:val="Refdenotaalpie"/>
          <w:rFonts w:ascii="Garamond" w:hAnsi="Garamond"/>
          <w:sz w:val="24"/>
          <w:szCs w:val="24"/>
          <w:lang w:val="es-PE"/>
        </w:rPr>
        <w:footnoteReference w:id="6"/>
      </w:r>
      <w:r w:rsidR="00AB30B7" w:rsidRPr="00740E60">
        <w:rPr>
          <w:rFonts w:ascii="Garamond" w:hAnsi="Garamond"/>
          <w:sz w:val="24"/>
          <w:szCs w:val="24"/>
          <w:lang w:val="es-PE"/>
        </w:rPr>
        <w:t>.</w:t>
      </w:r>
    </w:p>
    <w:p w:rsidR="006B5F32" w:rsidRDefault="006B5F32" w:rsidP="00740E60">
      <w:pPr>
        <w:spacing w:line="360" w:lineRule="auto"/>
        <w:rPr>
          <w:rFonts w:ascii="Garamond" w:hAnsi="Garamond"/>
          <w:sz w:val="24"/>
          <w:szCs w:val="24"/>
          <w:lang w:val="es-PE"/>
        </w:rPr>
      </w:pPr>
    </w:p>
    <w:p w:rsidR="000969B7" w:rsidRPr="00740E60" w:rsidRDefault="00AB30B7" w:rsidP="00740E60">
      <w:pPr>
        <w:spacing w:line="360" w:lineRule="auto"/>
        <w:rPr>
          <w:rFonts w:ascii="Garamond" w:hAnsi="Garamond"/>
          <w:sz w:val="24"/>
          <w:szCs w:val="24"/>
          <w:lang w:val="es-PE"/>
        </w:rPr>
      </w:pPr>
      <w:r w:rsidRPr="00740E60">
        <w:rPr>
          <w:rFonts w:ascii="Garamond" w:hAnsi="Garamond"/>
          <w:sz w:val="24"/>
          <w:szCs w:val="24"/>
          <w:lang w:val="es-PE"/>
        </w:rPr>
        <w:lastRenderedPageBreak/>
        <w:t xml:space="preserve">En cambio, estamos ante un arbitraje institucional, cuando en la cláusula arbitral del contrato, se ha establecido la realización de un arbitraje institucional y, para tal efecto, la parte interesada debe recurrir a la institución </w:t>
      </w:r>
      <w:r w:rsidR="00846721" w:rsidRPr="00740E60">
        <w:rPr>
          <w:rFonts w:ascii="Garamond" w:hAnsi="Garamond"/>
          <w:sz w:val="24"/>
          <w:szCs w:val="24"/>
          <w:lang w:val="es-PE"/>
        </w:rPr>
        <w:t xml:space="preserve">arbitral en aplicación del respectivo reglamento arbitral institucional, tal como lo establece el artículo 215° del Reglamento de la Ley de Contrataciones del Estado; las partes pueden encargar la administración del proceso arbitral a </w:t>
      </w:r>
      <w:r w:rsidR="000969B7" w:rsidRPr="00740E60">
        <w:rPr>
          <w:rFonts w:ascii="Garamond" w:hAnsi="Garamond"/>
          <w:sz w:val="24"/>
          <w:szCs w:val="24"/>
          <w:lang w:val="es-PE"/>
        </w:rPr>
        <w:t xml:space="preserve">un Centro </w:t>
      </w:r>
      <w:r w:rsidR="006B5F32">
        <w:rPr>
          <w:rFonts w:ascii="Garamond" w:hAnsi="Garamond"/>
          <w:sz w:val="24"/>
          <w:szCs w:val="24"/>
          <w:lang w:val="es-PE"/>
        </w:rPr>
        <w:t>A</w:t>
      </w:r>
      <w:r w:rsidR="000969B7" w:rsidRPr="00740E60">
        <w:rPr>
          <w:rFonts w:ascii="Garamond" w:hAnsi="Garamond"/>
          <w:sz w:val="24"/>
          <w:szCs w:val="24"/>
          <w:lang w:val="es-PE"/>
        </w:rPr>
        <w:t xml:space="preserve">rbitral, </w:t>
      </w:r>
      <w:r w:rsidR="006B5F32">
        <w:rPr>
          <w:rFonts w:ascii="Garamond" w:hAnsi="Garamond"/>
          <w:sz w:val="24"/>
          <w:szCs w:val="24"/>
          <w:lang w:val="es-PE"/>
        </w:rPr>
        <w:t>verbigracia</w:t>
      </w:r>
      <w:r w:rsidR="000969B7" w:rsidRPr="00740E60">
        <w:rPr>
          <w:rFonts w:ascii="Garamond" w:hAnsi="Garamond"/>
          <w:sz w:val="24"/>
          <w:szCs w:val="24"/>
          <w:lang w:val="es-PE"/>
        </w:rPr>
        <w:t xml:space="preserve">, la Dirección de Arbitraje Administrativo del OSCE, la Cámara de Comercio de Lima, el Centro de Arbitraje de resolución de conflictos de la Pontificia Universidad Católica del Perú, el Colegio de Ingenieros del Perú, El Colegio de Abogados de Lima, Arbitre, </w:t>
      </w:r>
      <w:r w:rsidR="00846721" w:rsidRPr="00740E60">
        <w:rPr>
          <w:rFonts w:ascii="Garamond" w:hAnsi="Garamond"/>
          <w:sz w:val="24"/>
          <w:szCs w:val="24"/>
          <w:lang w:val="es-PE"/>
        </w:rPr>
        <w:t xml:space="preserve">entre otros, </w:t>
      </w:r>
      <w:r w:rsidR="000969B7" w:rsidRPr="00740E60">
        <w:rPr>
          <w:rFonts w:ascii="Garamond" w:hAnsi="Garamond"/>
          <w:sz w:val="24"/>
          <w:szCs w:val="24"/>
          <w:lang w:val="es-PE"/>
        </w:rPr>
        <w:t xml:space="preserve">etc. </w:t>
      </w:r>
    </w:p>
    <w:p w:rsidR="00011055" w:rsidRPr="00740E60" w:rsidRDefault="00011055" w:rsidP="00740E60">
      <w:pPr>
        <w:spacing w:line="360" w:lineRule="auto"/>
        <w:rPr>
          <w:rFonts w:ascii="Garamond" w:hAnsi="Garamond"/>
          <w:sz w:val="24"/>
          <w:szCs w:val="24"/>
          <w:lang w:val="es-PE"/>
        </w:rPr>
      </w:pPr>
    </w:p>
    <w:p w:rsidR="00011055" w:rsidRPr="00740E60" w:rsidRDefault="00EF1FC7" w:rsidP="00E62C81">
      <w:pPr>
        <w:tabs>
          <w:tab w:val="left" w:pos="567"/>
        </w:tabs>
        <w:spacing w:line="360" w:lineRule="auto"/>
        <w:rPr>
          <w:rFonts w:ascii="Garamond" w:hAnsi="Garamond"/>
          <w:b/>
          <w:sz w:val="24"/>
          <w:szCs w:val="24"/>
          <w:u w:val="single"/>
          <w:lang w:val="es-PE"/>
        </w:rPr>
      </w:pPr>
      <w:r w:rsidRPr="00E62C81">
        <w:rPr>
          <w:rFonts w:ascii="Garamond" w:hAnsi="Garamond"/>
          <w:b/>
          <w:sz w:val="24"/>
          <w:szCs w:val="24"/>
          <w:lang w:val="es-PE"/>
        </w:rPr>
        <w:t xml:space="preserve">3.- </w:t>
      </w:r>
      <w:r w:rsidR="00E62C81">
        <w:rPr>
          <w:rFonts w:ascii="Garamond" w:hAnsi="Garamond"/>
          <w:b/>
          <w:sz w:val="24"/>
          <w:szCs w:val="24"/>
          <w:lang w:val="es-PE"/>
        </w:rPr>
        <w:tab/>
      </w:r>
      <w:r w:rsidRPr="00740E60">
        <w:rPr>
          <w:rFonts w:ascii="Garamond" w:hAnsi="Garamond"/>
          <w:b/>
          <w:sz w:val="24"/>
          <w:szCs w:val="24"/>
          <w:u w:val="single"/>
          <w:lang w:val="es-PE"/>
        </w:rPr>
        <w:t>LAS PARTES.-</w:t>
      </w:r>
    </w:p>
    <w:p w:rsidR="00011055" w:rsidRPr="00740E60" w:rsidRDefault="00011055" w:rsidP="00740E60">
      <w:pPr>
        <w:spacing w:line="360" w:lineRule="auto"/>
        <w:rPr>
          <w:rFonts w:ascii="Garamond" w:hAnsi="Garamond"/>
          <w:sz w:val="24"/>
          <w:szCs w:val="24"/>
          <w:lang w:val="es-PE"/>
        </w:rPr>
      </w:pPr>
    </w:p>
    <w:p w:rsidR="00E81AF1" w:rsidRPr="00740E60" w:rsidRDefault="00011055" w:rsidP="00740E60">
      <w:pPr>
        <w:spacing w:line="360" w:lineRule="auto"/>
        <w:rPr>
          <w:rFonts w:ascii="Garamond" w:hAnsi="Garamond"/>
          <w:sz w:val="24"/>
          <w:szCs w:val="24"/>
          <w:lang w:val="es-PE"/>
        </w:rPr>
      </w:pPr>
      <w:r w:rsidRPr="00740E60">
        <w:rPr>
          <w:rFonts w:ascii="Garamond" w:hAnsi="Garamond"/>
          <w:sz w:val="24"/>
          <w:szCs w:val="24"/>
          <w:lang w:val="es-PE"/>
        </w:rPr>
        <w:t>Las partes en conflicto, de una parte podría ser una persona natural, una persona jurídica</w:t>
      </w:r>
      <w:r w:rsidR="00230DB9" w:rsidRPr="00740E60">
        <w:rPr>
          <w:rStyle w:val="Refdenotaalpie"/>
          <w:rFonts w:ascii="Garamond" w:hAnsi="Garamond"/>
          <w:sz w:val="24"/>
          <w:szCs w:val="24"/>
          <w:lang w:val="es-PE"/>
        </w:rPr>
        <w:footnoteReference w:id="7"/>
      </w:r>
      <w:r w:rsidRPr="00740E60">
        <w:rPr>
          <w:rFonts w:ascii="Garamond" w:hAnsi="Garamond"/>
          <w:sz w:val="24"/>
          <w:szCs w:val="24"/>
          <w:lang w:val="es-PE"/>
        </w:rPr>
        <w:t>, representado a través de un Consorcio</w:t>
      </w:r>
      <w:r w:rsidR="001C528C" w:rsidRPr="00740E60">
        <w:rPr>
          <w:rStyle w:val="Refdenotaalpie"/>
          <w:rFonts w:ascii="Garamond" w:hAnsi="Garamond"/>
          <w:sz w:val="24"/>
          <w:szCs w:val="24"/>
          <w:lang w:val="es-PE"/>
        </w:rPr>
        <w:footnoteReference w:id="8"/>
      </w:r>
      <w:r w:rsidRPr="00740E60">
        <w:rPr>
          <w:rFonts w:ascii="Garamond" w:hAnsi="Garamond"/>
          <w:sz w:val="24"/>
          <w:szCs w:val="24"/>
          <w:lang w:val="es-PE"/>
        </w:rPr>
        <w:t xml:space="preserve">, a quienes nosotros les denominados “El Contratista” y de la otra parte </w:t>
      </w:r>
      <w:r w:rsidR="00EF1FC7" w:rsidRPr="00740E60">
        <w:rPr>
          <w:rFonts w:ascii="Garamond" w:hAnsi="Garamond"/>
          <w:sz w:val="24"/>
          <w:szCs w:val="24"/>
          <w:lang w:val="es-PE"/>
        </w:rPr>
        <w:t>necesariamente es el Estado</w:t>
      </w:r>
      <w:r w:rsidR="006A5842" w:rsidRPr="00740E60">
        <w:rPr>
          <w:rStyle w:val="Refdenotaalpie"/>
          <w:rFonts w:ascii="Garamond" w:hAnsi="Garamond"/>
          <w:sz w:val="24"/>
          <w:szCs w:val="24"/>
          <w:lang w:val="es-PE"/>
        </w:rPr>
        <w:footnoteReference w:id="9"/>
      </w:r>
      <w:r w:rsidR="002F331E" w:rsidRPr="00740E60">
        <w:rPr>
          <w:rFonts w:ascii="Garamond" w:hAnsi="Garamond"/>
          <w:sz w:val="24"/>
          <w:szCs w:val="24"/>
          <w:lang w:val="es-PE"/>
        </w:rPr>
        <w:t xml:space="preserve">a través de sus órganos </w:t>
      </w:r>
      <w:r w:rsidR="00C34CC2" w:rsidRPr="00740E60">
        <w:rPr>
          <w:rFonts w:ascii="Garamond" w:hAnsi="Garamond"/>
          <w:sz w:val="24"/>
          <w:szCs w:val="24"/>
          <w:lang w:val="es-PE"/>
        </w:rPr>
        <w:t>o dependencias</w:t>
      </w:r>
      <w:r w:rsidR="002F331E" w:rsidRPr="00740E60">
        <w:rPr>
          <w:rFonts w:ascii="Garamond" w:hAnsi="Garamond"/>
          <w:sz w:val="24"/>
          <w:szCs w:val="24"/>
          <w:lang w:val="es-PE"/>
        </w:rPr>
        <w:t>, como pueden ser los Minister</w:t>
      </w:r>
      <w:r w:rsidR="00C34CC2" w:rsidRPr="00740E60">
        <w:rPr>
          <w:rFonts w:ascii="Garamond" w:hAnsi="Garamond"/>
          <w:sz w:val="24"/>
          <w:szCs w:val="24"/>
          <w:lang w:val="es-PE"/>
        </w:rPr>
        <w:t>ios, los Gobiernos Regionales, los Gobiernos l</w:t>
      </w:r>
      <w:r w:rsidR="002F331E" w:rsidRPr="00740E60">
        <w:rPr>
          <w:rFonts w:ascii="Garamond" w:hAnsi="Garamond"/>
          <w:sz w:val="24"/>
          <w:szCs w:val="24"/>
          <w:lang w:val="es-PE"/>
        </w:rPr>
        <w:t xml:space="preserve">ocales, los </w:t>
      </w:r>
      <w:r w:rsidR="006B5F32">
        <w:rPr>
          <w:rFonts w:ascii="Garamond" w:hAnsi="Garamond"/>
          <w:sz w:val="24"/>
          <w:szCs w:val="24"/>
          <w:lang w:val="es-PE"/>
        </w:rPr>
        <w:t>O</w:t>
      </w:r>
      <w:r w:rsidR="002F331E" w:rsidRPr="00740E60">
        <w:rPr>
          <w:rFonts w:ascii="Garamond" w:hAnsi="Garamond"/>
          <w:sz w:val="24"/>
          <w:szCs w:val="24"/>
          <w:lang w:val="es-PE"/>
        </w:rPr>
        <w:t xml:space="preserve">rganismos </w:t>
      </w:r>
      <w:r w:rsidR="006B5F32">
        <w:rPr>
          <w:rFonts w:ascii="Garamond" w:hAnsi="Garamond"/>
          <w:sz w:val="24"/>
          <w:szCs w:val="24"/>
          <w:lang w:val="es-PE"/>
        </w:rPr>
        <w:t>D</w:t>
      </w:r>
      <w:r w:rsidR="002F331E" w:rsidRPr="00740E60">
        <w:rPr>
          <w:rFonts w:ascii="Garamond" w:hAnsi="Garamond"/>
          <w:sz w:val="24"/>
          <w:szCs w:val="24"/>
          <w:lang w:val="es-PE"/>
        </w:rPr>
        <w:t>escentralizados, en pocas palabras toda institución púb</w:t>
      </w:r>
      <w:r w:rsidR="001C528C" w:rsidRPr="00740E60">
        <w:rPr>
          <w:rFonts w:ascii="Garamond" w:hAnsi="Garamond"/>
          <w:sz w:val="24"/>
          <w:szCs w:val="24"/>
          <w:lang w:val="es-PE"/>
        </w:rPr>
        <w:t>lica que maneja fondos p</w:t>
      </w:r>
      <w:r w:rsidR="006A5842" w:rsidRPr="00740E60">
        <w:rPr>
          <w:rFonts w:ascii="Garamond" w:hAnsi="Garamond"/>
          <w:sz w:val="24"/>
          <w:szCs w:val="24"/>
          <w:lang w:val="es-PE"/>
        </w:rPr>
        <w:t>úblicos; en donde</w:t>
      </w:r>
      <w:r w:rsidR="001C528C" w:rsidRPr="00740E60">
        <w:rPr>
          <w:rFonts w:ascii="Garamond" w:hAnsi="Garamond"/>
          <w:sz w:val="24"/>
          <w:szCs w:val="24"/>
          <w:lang w:val="es-PE"/>
        </w:rPr>
        <w:t xml:space="preserve"> el Estado </w:t>
      </w:r>
      <w:r w:rsidR="006A5842" w:rsidRPr="00740E60">
        <w:rPr>
          <w:rFonts w:ascii="Garamond" w:hAnsi="Garamond"/>
          <w:sz w:val="24"/>
          <w:szCs w:val="24"/>
          <w:lang w:val="es-PE"/>
        </w:rPr>
        <w:t xml:space="preserve">es </w:t>
      </w:r>
      <w:r w:rsidR="001C528C" w:rsidRPr="00740E60">
        <w:rPr>
          <w:rFonts w:ascii="Garamond" w:hAnsi="Garamond"/>
          <w:sz w:val="24"/>
          <w:szCs w:val="24"/>
          <w:lang w:val="es-PE"/>
        </w:rPr>
        <w:t xml:space="preserve">el principal agente comercial en la economía local o nacional, debido a la considerada demanda de bienes, servicios y obras, consultorías, que requiere </w:t>
      </w:r>
      <w:r w:rsidR="00D70B52" w:rsidRPr="00740E60">
        <w:rPr>
          <w:rFonts w:ascii="Garamond" w:hAnsi="Garamond"/>
          <w:sz w:val="24"/>
          <w:szCs w:val="24"/>
          <w:lang w:val="es-PE"/>
        </w:rPr>
        <w:t>para el mantenimiento de las instituciones públicaso mixtas, en las que participa.</w:t>
      </w:r>
    </w:p>
    <w:p w:rsidR="001C528C" w:rsidRPr="00740E60" w:rsidRDefault="001C528C" w:rsidP="00740E60">
      <w:pPr>
        <w:spacing w:line="360" w:lineRule="auto"/>
        <w:rPr>
          <w:rFonts w:ascii="Garamond" w:hAnsi="Garamond"/>
          <w:sz w:val="24"/>
          <w:szCs w:val="24"/>
          <w:lang w:val="es-PE"/>
        </w:rPr>
      </w:pPr>
    </w:p>
    <w:p w:rsidR="00011055" w:rsidRPr="00740E60" w:rsidRDefault="00E81AF1" w:rsidP="00740E60">
      <w:pPr>
        <w:spacing w:line="360" w:lineRule="auto"/>
        <w:rPr>
          <w:rFonts w:ascii="Garamond" w:hAnsi="Garamond"/>
          <w:sz w:val="24"/>
          <w:szCs w:val="24"/>
          <w:lang w:val="es-PE"/>
        </w:rPr>
      </w:pPr>
      <w:r w:rsidRPr="00740E60">
        <w:rPr>
          <w:rFonts w:ascii="Garamond" w:hAnsi="Garamond"/>
          <w:sz w:val="24"/>
          <w:szCs w:val="24"/>
          <w:lang w:val="es-PE"/>
        </w:rPr>
        <w:t xml:space="preserve">En palabras de </w:t>
      </w:r>
      <w:r w:rsidR="006B5F32" w:rsidRPr="006B5F32">
        <w:rPr>
          <w:rFonts w:ascii="Garamond" w:hAnsi="Garamond"/>
          <w:b/>
          <w:sz w:val="24"/>
          <w:szCs w:val="24"/>
          <w:lang w:val="es-PE"/>
        </w:rPr>
        <w:t xml:space="preserve">MATHEUS </w:t>
      </w:r>
      <w:r w:rsidR="006B5F32" w:rsidRPr="00530744">
        <w:rPr>
          <w:rFonts w:ascii="Garamond" w:hAnsi="Garamond"/>
          <w:b/>
          <w:sz w:val="24"/>
          <w:szCs w:val="24"/>
          <w:lang w:val="es-PE"/>
        </w:rPr>
        <w:t xml:space="preserve">LÓPEZ, </w:t>
      </w:r>
      <w:r w:rsidRPr="00530744">
        <w:rPr>
          <w:rFonts w:ascii="Garamond" w:hAnsi="Garamond"/>
          <w:b/>
          <w:sz w:val="24"/>
          <w:szCs w:val="24"/>
          <w:lang w:val="es-PE"/>
        </w:rPr>
        <w:t>Carlos</w:t>
      </w:r>
      <w:r w:rsidR="007D6127">
        <w:rPr>
          <w:rStyle w:val="Refdenotaalpie"/>
          <w:rFonts w:ascii="Garamond" w:hAnsi="Garamond"/>
          <w:b/>
          <w:sz w:val="24"/>
          <w:szCs w:val="24"/>
          <w:lang w:val="es-PE"/>
        </w:rPr>
        <w:footnoteReference w:id="10"/>
      </w:r>
      <w:r w:rsidRPr="00740E60">
        <w:rPr>
          <w:rFonts w:ascii="Garamond" w:hAnsi="Garamond"/>
          <w:sz w:val="24"/>
          <w:szCs w:val="24"/>
          <w:lang w:val="es-PE"/>
        </w:rPr>
        <w:t xml:space="preserve">, refiere que </w:t>
      </w:r>
      <w:r w:rsidR="007812E1" w:rsidRPr="00740E60">
        <w:rPr>
          <w:rFonts w:ascii="Garamond" w:hAnsi="Garamond"/>
          <w:sz w:val="24"/>
          <w:szCs w:val="24"/>
          <w:lang w:val="es-PE"/>
        </w:rPr>
        <w:t>“El</w:t>
      </w:r>
      <w:r w:rsidRPr="00740E60">
        <w:rPr>
          <w:rFonts w:ascii="Garamond" w:hAnsi="Garamond"/>
          <w:sz w:val="24"/>
          <w:szCs w:val="24"/>
          <w:lang w:val="es-PE"/>
        </w:rPr>
        <w:t xml:space="preserve"> proceso arbitral, al igual que aquel jurisdiccional, importa un mecanismo </w:t>
      </w:r>
      <w:proofErr w:type="spellStart"/>
      <w:r w:rsidRPr="00740E60">
        <w:rPr>
          <w:rFonts w:ascii="Garamond" w:hAnsi="Garamond"/>
          <w:sz w:val="24"/>
          <w:szCs w:val="24"/>
          <w:lang w:val="es-PE"/>
        </w:rPr>
        <w:t>heterocompositivo</w:t>
      </w:r>
      <w:proofErr w:type="spellEnd"/>
      <w:r w:rsidRPr="00740E60">
        <w:rPr>
          <w:rFonts w:ascii="Garamond" w:hAnsi="Garamond"/>
          <w:sz w:val="24"/>
          <w:szCs w:val="24"/>
          <w:lang w:val="es-PE"/>
        </w:rPr>
        <w:t xml:space="preserve"> vertical de resolución de </w:t>
      </w:r>
      <w:r w:rsidRPr="00740E60">
        <w:rPr>
          <w:rFonts w:ascii="Garamond" w:hAnsi="Garamond"/>
          <w:sz w:val="24"/>
          <w:szCs w:val="24"/>
          <w:lang w:val="es-PE"/>
        </w:rPr>
        <w:lastRenderedPageBreak/>
        <w:t>conflictos</w:t>
      </w:r>
      <w:r w:rsidRPr="00740E60">
        <w:rPr>
          <w:rStyle w:val="Refdenotaalpie"/>
          <w:rFonts w:ascii="Garamond" w:hAnsi="Garamond"/>
          <w:sz w:val="24"/>
          <w:szCs w:val="24"/>
          <w:lang w:val="es-PE"/>
        </w:rPr>
        <w:footnoteReference w:id="11"/>
      </w:r>
      <w:r w:rsidRPr="00740E60">
        <w:rPr>
          <w:rFonts w:ascii="Garamond" w:hAnsi="Garamond"/>
          <w:sz w:val="24"/>
          <w:szCs w:val="24"/>
          <w:lang w:val="es-PE"/>
        </w:rPr>
        <w:t>”</w:t>
      </w:r>
      <w:r w:rsidR="007812E1" w:rsidRPr="00740E60">
        <w:rPr>
          <w:rFonts w:ascii="Garamond" w:hAnsi="Garamond"/>
          <w:sz w:val="24"/>
          <w:szCs w:val="24"/>
          <w:lang w:val="es-PE"/>
        </w:rPr>
        <w:t>conformado por una relación subjetiva trilateral integrada por las partes y el órgano arbitral</w:t>
      </w:r>
      <w:r w:rsidR="007812E1" w:rsidRPr="00740E60">
        <w:rPr>
          <w:rStyle w:val="Refdenotaalpie"/>
          <w:rFonts w:ascii="Garamond" w:hAnsi="Garamond"/>
          <w:sz w:val="24"/>
          <w:szCs w:val="24"/>
          <w:lang w:val="es-PE"/>
        </w:rPr>
        <w:footnoteReference w:id="12"/>
      </w:r>
      <w:r w:rsidR="007812E1" w:rsidRPr="00740E60">
        <w:rPr>
          <w:rFonts w:ascii="Garamond" w:hAnsi="Garamond"/>
          <w:sz w:val="24"/>
          <w:szCs w:val="24"/>
          <w:lang w:val="es-PE"/>
        </w:rPr>
        <w:t>. Donde las partes pueden estar conformadas tanto por personas naturales como jurídicas, en tanto que el órgano arbitral-singular o colegiado requiere de la personalidad natural, siendo ambos elementos subjetivos necesarios para la existencia y desarrollo del proceso arbitral.</w:t>
      </w:r>
    </w:p>
    <w:p w:rsidR="00D70B52" w:rsidRPr="00740E60" w:rsidRDefault="00D70B52" w:rsidP="00740E60">
      <w:pPr>
        <w:spacing w:line="360" w:lineRule="auto"/>
        <w:rPr>
          <w:rFonts w:ascii="Garamond" w:hAnsi="Garamond"/>
          <w:sz w:val="24"/>
          <w:szCs w:val="24"/>
          <w:lang w:val="es-PE"/>
        </w:rPr>
      </w:pPr>
    </w:p>
    <w:p w:rsidR="00D70B52" w:rsidRDefault="008F6A1F" w:rsidP="00740E60">
      <w:pPr>
        <w:spacing w:line="360" w:lineRule="auto"/>
        <w:rPr>
          <w:rFonts w:ascii="Garamond" w:hAnsi="Garamond"/>
          <w:sz w:val="24"/>
          <w:szCs w:val="24"/>
          <w:lang w:val="es-PE"/>
        </w:rPr>
      </w:pPr>
      <w:r w:rsidRPr="00740E60">
        <w:rPr>
          <w:rFonts w:ascii="Garamond" w:hAnsi="Garamond"/>
          <w:sz w:val="24"/>
          <w:szCs w:val="24"/>
          <w:lang w:val="es-PE"/>
        </w:rPr>
        <w:t xml:space="preserve">Es pertinente recalcar que el origen del arbitraje se encuentra en la cláusula arbitral, en tal sentido, puede ser suscrito tanto por persona física o natural y/o jurídica, en razón que la Ley de Arbitraje de modo general, se refiere a “las partes”, en tal sentido en un sentido lato, no hace distingo entre persona jurídica y persona natural. </w:t>
      </w:r>
    </w:p>
    <w:p w:rsidR="00E62C81" w:rsidRDefault="00E62C81" w:rsidP="00740E60">
      <w:pPr>
        <w:spacing w:line="360" w:lineRule="auto"/>
        <w:rPr>
          <w:rFonts w:ascii="Garamond" w:hAnsi="Garamond"/>
          <w:sz w:val="24"/>
          <w:szCs w:val="24"/>
          <w:lang w:val="es-PE"/>
        </w:rPr>
      </w:pPr>
    </w:p>
    <w:p w:rsidR="00230DB9" w:rsidRPr="00740E60" w:rsidRDefault="00230DB9" w:rsidP="00E62C81">
      <w:pPr>
        <w:tabs>
          <w:tab w:val="left" w:pos="567"/>
        </w:tabs>
        <w:spacing w:line="360" w:lineRule="auto"/>
        <w:rPr>
          <w:rFonts w:ascii="Garamond" w:hAnsi="Garamond"/>
          <w:b/>
          <w:sz w:val="24"/>
          <w:szCs w:val="24"/>
          <w:u w:val="single"/>
          <w:lang w:val="es-PE"/>
        </w:rPr>
      </w:pPr>
      <w:r w:rsidRPr="00E62C81">
        <w:rPr>
          <w:rFonts w:ascii="Garamond" w:hAnsi="Garamond"/>
          <w:b/>
          <w:sz w:val="24"/>
          <w:szCs w:val="24"/>
          <w:lang w:val="es-PE"/>
        </w:rPr>
        <w:t xml:space="preserve">4.- </w:t>
      </w:r>
      <w:r w:rsidR="00E62C81">
        <w:rPr>
          <w:rFonts w:ascii="Garamond" w:hAnsi="Garamond"/>
          <w:b/>
          <w:sz w:val="24"/>
          <w:szCs w:val="24"/>
          <w:lang w:val="es-PE"/>
        </w:rPr>
        <w:tab/>
      </w:r>
      <w:r w:rsidRPr="00740E60">
        <w:rPr>
          <w:rFonts w:ascii="Garamond" w:hAnsi="Garamond"/>
          <w:b/>
          <w:sz w:val="24"/>
          <w:szCs w:val="24"/>
          <w:u w:val="single"/>
          <w:lang w:val="es-PE"/>
        </w:rPr>
        <w:t xml:space="preserve">LOS ÁRBITROS.- </w:t>
      </w:r>
    </w:p>
    <w:p w:rsidR="009D70E6" w:rsidRPr="00740E60" w:rsidRDefault="009D70E6" w:rsidP="00740E60">
      <w:pPr>
        <w:spacing w:line="360" w:lineRule="auto"/>
        <w:rPr>
          <w:rFonts w:ascii="Garamond" w:hAnsi="Garamond"/>
          <w:sz w:val="24"/>
          <w:szCs w:val="24"/>
          <w:lang w:val="es-PE"/>
        </w:rPr>
      </w:pPr>
    </w:p>
    <w:p w:rsidR="008904EE" w:rsidRPr="00740E60" w:rsidRDefault="007F48EC" w:rsidP="00740E60">
      <w:pPr>
        <w:spacing w:line="360" w:lineRule="auto"/>
        <w:rPr>
          <w:rFonts w:ascii="Garamond" w:hAnsi="Garamond"/>
          <w:sz w:val="24"/>
          <w:szCs w:val="24"/>
          <w:lang w:val="es-PE"/>
        </w:rPr>
      </w:pPr>
      <w:r w:rsidRPr="00740E60">
        <w:rPr>
          <w:rFonts w:ascii="Garamond" w:hAnsi="Garamond"/>
          <w:sz w:val="24"/>
          <w:szCs w:val="24"/>
          <w:lang w:val="es-PE"/>
        </w:rPr>
        <w:t>El artículo 19° de la Ley de Arbitraje, refiere que las partes podrán fijar libremente el número de árbitros  que conformen el tribunal arbitral. Ahora bien, el artículo 220° del Reglamento de la Ley de Contrataciones del Estado</w:t>
      </w:r>
      <w:r w:rsidR="00DF4D81">
        <w:rPr>
          <w:rFonts w:ascii="Garamond" w:hAnsi="Garamond"/>
          <w:sz w:val="24"/>
          <w:szCs w:val="24"/>
          <w:lang w:val="es-PE"/>
        </w:rPr>
        <w:t>,</w:t>
      </w:r>
      <w:r w:rsidRPr="00740E60">
        <w:rPr>
          <w:rFonts w:ascii="Garamond" w:hAnsi="Garamond"/>
          <w:sz w:val="24"/>
          <w:szCs w:val="24"/>
          <w:lang w:val="es-PE"/>
        </w:rPr>
        <w:t xml:space="preserve"> Decreto Supremo N° 184-2008-EF, refiere que el arbitraje será resuelto por árbitro único o por un tribunal arbitral conformado por tres árbitros, según el acuerdo de las partes. A falta de acuerdo entre las partes, </w:t>
      </w:r>
      <w:r w:rsidR="008904EE" w:rsidRPr="00740E60">
        <w:rPr>
          <w:rFonts w:ascii="Garamond" w:hAnsi="Garamond"/>
          <w:sz w:val="24"/>
          <w:szCs w:val="24"/>
          <w:lang w:val="es-PE"/>
        </w:rPr>
        <w:t xml:space="preserve">o en caso de duda, será resuelto por árbitro único. Y por último, refiere que el árbitro único y el presidente del tribunal arbitral deben ser necesariamente abogados. </w:t>
      </w:r>
    </w:p>
    <w:p w:rsidR="008904EE" w:rsidRPr="00740E60" w:rsidRDefault="008904EE" w:rsidP="00740E60">
      <w:pPr>
        <w:spacing w:line="360" w:lineRule="auto"/>
        <w:rPr>
          <w:rFonts w:ascii="Garamond" w:hAnsi="Garamond"/>
          <w:sz w:val="24"/>
          <w:szCs w:val="24"/>
          <w:lang w:val="es-PE"/>
        </w:rPr>
      </w:pPr>
    </w:p>
    <w:p w:rsidR="008904EE" w:rsidRPr="00740E60" w:rsidRDefault="008904EE" w:rsidP="00740E60">
      <w:pPr>
        <w:spacing w:line="360" w:lineRule="auto"/>
        <w:rPr>
          <w:rFonts w:ascii="Garamond" w:hAnsi="Garamond"/>
          <w:sz w:val="24"/>
          <w:szCs w:val="24"/>
          <w:lang w:val="es-PE"/>
        </w:rPr>
      </w:pPr>
      <w:r w:rsidRPr="00740E60">
        <w:rPr>
          <w:rFonts w:ascii="Garamond" w:hAnsi="Garamond"/>
          <w:sz w:val="24"/>
          <w:szCs w:val="24"/>
          <w:lang w:val="es-PE"/>
        </w:rPr>
        <w:t xml:space="preserve">Ahora bien, nuestra doctrina sobre el particular menciona desde: i) Número de árbitros, ii) Capacidad, iii) Incompatibilidad, iv) Nombramiento de los árbitros, v) Libertad de procedimiento de nombramiento, vi) Incumplimiento del encargo, vii) Nombramiento por las </w:t>
      </w:r>
      <w:r w:rsidRPr="00740E60">
        <w:rPr>
          <w:rFonts w:ascii="Garamond" w:hAnsi="Garamond"/>
          <w:sz w:val="24"/>
          <w:szCs w:val="24"/>
          <w:lang w:val="es-PE"/>
        </w:rPr>
        <w:lastRenderedPageBreak/>
        <w:t>Cámaras de Comercio, viii) Designación por el OSCE, ix) Privilegio en el nombramiento, x) Aceptación de los  árbitros, etc.</w:t>
      </w:r>
    </w:p>
    <w:p w:rsidR="008904EE" w:rsidRPr="00740E60" w:rsidRDefault="008904EE" w:rsidP="00740E60">
      <w:pPr>
        <w:spacing w:line="360" w:lineRule="auto"/>
        <w:rPr>
          <w:rFonts w:ascii="Garamond" w:hAnsi="Garamond"/>
          <w:sz w:val="24"/>
          <w:szCs w:val="24"/>
          <w:lang w:val="es-PE"/>
        </w:rPr>
      </w:pPr>
    </w:p>
    <w:p w:rsidR="008904EE" w:rsidRPr="00740E60" w:rsidRDefault="00DF4D81" w:rsidP="00740E60">
      <w:pPr>
        <w:spacing w:line="360" w:lineRule="auto"/>
        <w:rPr>
          <w:rFonts w:ascii="Garamond" w:hAnsi="Garamond"/>
          <w:sz w:val="24"/>
          <w:szCs w:val="24"/>
          <w:lang w:val="es-PE"/>
        </w:rPr>
      </w:pPr>
      <w:r>
        <w:rPr>
          <w:rFonts w:ascii="Garamond" w:hAnsi="Garamond"/>
          <w:sz w:val="24"/>
          <w:szCs w:val="24"/>
          <w:lang w:val="es-PE"/>
        </w:rPr>
        <w:t>La finalidad de</w:t>
      </w:r>
      <w:r w:rsidR="008904EE" w:rsidRPr="00740E60">
        <w:rPr>
          <w:rFonts w:ascii="Garamond" w:hAnsi="Garamond"/>
          <w:sz w:val="24"/>
          <w:szCs w:val="24"/>
          <w:lang w:val="es-PE"/>
        </w:rPr>
        <w:t xml:space="preserve"> este artículo no es ser extenso, sólo es dar </w:t>
      </w:r>
      <w:r>
        <w:rPr>
          <w:rFonts w:ascii="Garamond" w:hAnsi="Garamond"/>
          <w:sz w:val="24"/>
          <w:szCs w:val="24"/>
          <w:lang w:val="es-PE"/>
        </w:rPr>
        <w:t>algunas pinceladas</w:t>
      </w:r>
      <w:r w:rsidR="008904EE" w:rsidRPr="00740E60">
        <w:rPr>
          <w:rFonts w:ascii="Garamond" w:hAnsi="Garamond"/>
          <w:sz w:val="24"/>
          <w:szCs w:val="24"/>
          <w:lang w:val="es-PE"/>
        </w:rPr>
        <w:t xml:space="preserve"> de </w:t>
      </w:r>
      <w:r w:rsidR="004C72BD" w:rsidRPr="00740E60">
        <w:rPr>
          <w:rFonts w:ascii="Garamond" w:hAnsi="Garamond"/>
          <w:sz w:val="24"/>
          <w:szCs w:val="24"/>
          <w:lang w:val="es-PE"/>
        </w:rPr>
        <w:t>cuáles</w:t>
      </w:r>
      <w:r w:rsidR="008904EE" w:rsidRPr="00740E60">
        <w:rPr>
          <w:rFonts w:ascii="Garamond" w:hAnsi="Garamond"/>
          <w:sz w:val="24"/>
          <w:szCs w:val="24"/>
          <w:lang w:val="es-PE"/>
        </w:rPr>
        <w:t xml:space="preserve"> son las partes más importantes en el arbitraje, seguramente en otr</w:t>
      </w:r>
      <w:r>
        <w:rPr>
          <w:rFonts w:ascii="Garamond" w:hAnsi="Garamond"/>
          <w:sz w:val="24"/>
          <w:szCs w:val="24"/>
          <w:lang w:val="es-PE"/>
        </w:rPr>
        <w:t>aoportunidad</w:t>
      </w:r>
      <w:r w:rsidR="008904EE" w:rsidRPr="00740E60">
        <w:rPr>
          <w:rFonts w:ascii="Garamond" w:hAnsi="Garamond"/>
          <w:sz w:val="24"/>
          <w:szCs w:val="24"/>
          <w:lang w:val="es-PE"/>
        </w:rPr>
        <w:t xml:space="preserve">, </w:t>
      </w:r>
      <w:r>
        <w:rPr>
          <w:rFonts w:ascii="Garamond" w:hAnsi="Garamond"/>
          <w:sz w:val="24"/>
          <w:szCs w:val="24"/>
          <w:lang w:val="es-PE"/>
        </w:rPr>
        <w:t>tendremos</w:t>
      </w:r>
      <w:r w:rsidR="008904EE" w:rsidRPr="00740E60">
        <w:rPr>
          <w:rFonts w:ascii="Garamond" w:hAnsi="Garamond"/>
          <w:sz w:val="24"/>
          <w:szCs w:val="24"/>
          <w:lang w:val="es-PE"/>
        </w:rPr>
        <w:t xml:space="preserve"> mayor tiempo para lograr plasmar el procedimiento lato o </w:t>
      </w:r>
      <w:r w:rsidR="004C72BD" w:rsidRPr="00740E60">
        <w:rPr>
          <w:rFonts w:ascii="Garamond" w:hAnsi="Garamond"/>
          <w:sz w:val="24"/>
          <w:szCs w:val="24"/>
          <w:lang w:val="es-PE"/>
        </w:rPr>
        <w:t>restringido</w:t>
      </w:r>
      <w:r w:rsidR="008904EE" w:rsidRPr="00740E60">
        <w:rPr>
          <w:rFonts w:ascii="Garamond" w:hAnsi="Garamond"/>
          <w:sz w:val="24"/>
          <w:szCs w:val="24"/>
          <w:lang w:val="es-PE"/>
        </w:rPr>
        <w:t xml:space="preserve"> que tiene cada parte del arbitraje en las contrataciones públicas, desde como empieza el arbitraje</w:t>
      </w:r>
      <w:r w:rsidR="004C72BD" w:rsidRPr="00740E60">
        <w:rPr>
          <w:rFonts w:ascii="Garamond" w:hAnsi="Garamond"/>
          <w:sz w:val="24"/>
          <w:szCs w:val="24"/>
          <w:lang w:val="es-PE"/>
        </w:rPr>
        <w:t xml:space="preserve"> en un procedimiento Ad Hoc o Institucional,</w:t>
      </w:r>
      <w:r w:rsidR="008904EE" w:rsidRPr="00740E60">
        <w:rPr>
          <w:rFonts w:ascii="Garamond" w:hAnsi="Garamond"/>
          <w:sz w:val="24"/>
          <w:szCs w:val="24"/>
          <w:lang w:val="es-PE"/>
        </w:rPr>
        <w:t xml:space="preserve"> hasta </w:t>
      </w:r>
      <w:r w:rsidR="004C72BD" w:rsidRPr="00740E60">
        <w:rPr>
          <w:rFonts w:ascii="Garamond" w:hAnsi="Garamond"/>
          <w:sz w:val="24"/>
          <w:szCs w:val="24"/>
          <w:lang w:val="es-PE"/>
        </w:rPr>
        <w:t>la interposición d</w:t>
      </w:r>
      <w:r w:rsidR="008904EE" w:rsidRPr="00740E60">
        <w:rPr>
          <w:rFonts w:ascii="Garamond" w:hAnsi="Garamond"/>
          <w:sz w:val="24"/>
          <w:szCs w:val="24"/>
          <w:lang w:val="es-PE"/>
        </w:rPr>
        <w:t>el recurso de anulación ante el Poder Judicial, pero por el momento trataré de ceñirme a lo estrictamente requerido.</w:t>
      </w:r>
    </w:p>
    <w:p w:rsidR="004C72BD" w:rsidRPr="00740E60" w:rsidRDefault="004C72BD" w:rsidP="00740E60">
      <w:pPr>
        <w:spacing w:line="360" w:lineRule="auto"/>
        <w:rPr>
          <w:rFonts w:ascii="Garamond" w:hAnsi="Garamond"/>
          <w:sz w:val="24"/>
          <w:szCs w:val="24"/>
          <w:lang w:val="es-PE"/>
        </w:rPr>
      </w:pPr>
    </w:p>
    <w:p w:rsidR="0060350E" w:rsidRDefault="0007543D" w:rsidP="00740E60">
      <w:pPr>
        <w:spacing w:line="360" w:lineRule="auto"/>
        <w:rPr>
          <w:rFonts w:ascii="Garamond" w:hAnsi="Garamond"/>
          <w:sz w:val="24"/>
          <w:szCs w:val="24"/>
          <w:lang w:val="es-PE"/>
        </w:rPr>
      </w:pPr>
      <w:r w:rsidRPr="00740E60">
        <w:rPr>
          <w:rFonts w:ascii="Garamond" w:hAnsi="Garamond"/>
          <w:sz w:val="24"/>
          <w:szCs w:val="24"/>
          <w:lang w:val="es-PE"/>
        </w:rPr>
        <w:t xml:space="preserve">La composición del Tribunal Arbitral, está recogida en su artículo 548° de la Ley N° 1510, que promulga el Código de Procedimientos Civiles, que establecía que toda controversia, sea o no materia de un juicio, puede someterse a la decisión de uno o más árbitros. A su turno, el artículo 1918 del Código Civil de 1984 ratificó, en su primer párrafo, dicho criterio, al establecer: </w:t>
      </w:r>
      <w:r w:rsidR="002D3D79" w:rsidRPr="00740E60">
        <w:rPr>
          <w:rFonts w:ascii="Garamond" w:hAnsi="Garamond"/>
          <w:sz w:val="24"/>
          <w:szCs w:val="24"/>
          <w:lang w:val="es-PE"/>
        </w:rPr>
        <w:t>“Los</w:t>
      </w:r>
      <w:r w:rsidRPr="00740E60">
        <w:rPr>
          <w:rFonts w:ascii="Garamond" w:hAnsi="Garamond"/>
          <w:sz w:val="24"/>
          <w:szCs w:val="24"/>
          <w:lang w:val="es-PE"/>
        </w:rPr>
        <w:t xml:space="preserve"> árbitros deben ser designados por las partes en número impar. Si son tres o más formarán tribunal, presidido por el que ellos elijan”.</w:t>
      </w:r>
    </w:p>
    <w:p w:rsidR="00C01734" w:rsidRPr="00740E60" w:rsidRDefault="00C01734" w:rsidP="00740E60">
      <w:pPr>
        <w:spacing w:line="360" w:lineRule="auto"/>
        <w:rPr>
          <w:rFonts w:ascii="Garamond" w:hAnsi="Garamond"/>
          <w:sz w:val="24"/>
          <w:szCs w:val="24"/>
          <w:lang w:val="es-PE"/>
        </w:rPr>
      </w:pPr>
    </w:p>
    <w:p w:rsidR="00871D4A" w:rsidRPr="00740E60" w:rsidRDefault="002D3D79" w:rsidP="00740E60">
      <w:pPr>
        <w:spacing w:line="360" w:lineRule="auto"/>
        <w:rPr>
          <w:rFonts w:ascii="Garamond" w:hAnsi="Garamond"/>
          <w:sz w:val="24"/>
          <w:szCs w:val="24"/>
          <w:lang w:val="es-PE"/>
        </w:rPr>
      </w:pPr>
      <w:r w:rsidRPr="00740E60">
        <w:rPr>
          <w:rFonts w:ascii="Garamond" w:hAnsi="Garamond"/>
          <w:sz w:val="24"/>
          <w:szCs w:val="24"/>
          <w:lang w:val="es-PE"/>
        </w:rPr>
        <w:t>De igual forma, se encuentra en el primer párrafo del artículo 19° del Decreto Legislativo N° 25935, y también en el artículo 24° de la Ley General del Arbit</w:t>
      </w:r>
      <w:r w:rsidR="00871D4A" w:rsidRPr="00740E60">
        <w:rPr>
          <w:rFonts w:ascii="Garamond" w:hAnsi="Garamond"/>
          <w:sz w:val="24"/>
          <w:szCs w:val="24"/>
          <w:lang w:val="es-PE"/>
        </w:rPr>
        <w:t>raje, Ley N° 26572.</w:t>
      </w:r>
    </w:p>
    <w:p w:rsidR="00BF30FC" w:rsidRPr="00740E60" w:rsidRDefault="00BF30FC" w:rsidP="00740E60">
      <w:pPr>
        <w:spacing w:line="360" w:lineRule="auto"/>
        <w:rPr>
          <w:rFonts w:ascii="Garamond" w:hAnsi="Garamond"/>
          <w:sz w:val="24"/>
          <w:szCs w:val="24"/>
          <w:lang w:val="es-PE"/>
        </w:rPr>
      </w:pPr>
      <w:r w:rsidRPr="00740E60">
        <w:rPr>
          <w:rFonts w:ascii="Garamond" w:hAnsi="Garamond"/>
          <w:sz w:val="24"/>
          <w:szCs w:val="24"/>
          <w:lang w:val="es-PE"/>
        </w:rPr>
        <w:t xml:space="preserve">Finalmente, comparto la opinión de </w:t>
      </w:r>
      <w:proofErr w:type="spellStart"/>
      <w:r w:rsidRPr="00740E60">
        <w:rPr>
          <w:rFonts w:ascii="Garamond" w:hAnsi="Garamond"/>
          <w:sz w:val="24"/>
          <w:szCs w:val="24"/>
          <w:lang w:val="es-PE"/>
        </w:rPr>
        <w:t>Natalé</w:t>
      </w:r>
      <w:proofErr w:type="spellEnd"/>
      <w:r w:rsidRPr="00740E60">
        <w:rPr>
          <w:rFonts w:ascii="Garamond" w:hAnsi="Garamond"/>
          <w:sz w:val="24"/>
          <w:szCs w:val="24"/>
          <w:lang w:val="es-PE"/>
        </w:rPr>
        <w:t xml:space="preserve"> Amprimo</w:t>
      </w:r>
      <w:r w:rsidRPr="00740E60">
        <w:rPr>
          <w:rStyle w:val="Refdenotaalpie"/>
          <w:rFonts w:ascii="Garamond" w:hAnsi="Garamond"/>
          <w:sz w:val="24"/>
          <w:szCs w:val="24"/>
          <w:lang w:val="es-PE"/>
        </w:rPr>
        <w:footnoteReference w:id="13"/>
      </w:r>
      <w:r w:rsidRPr="00740E60">
        <w:rPr>
          <w:rFonts w:ascii="Garamond" w:hAnsi="Garamond"/>
          <w:sz w:val="24"/>
          <w:szCs w:val="24"/>
          <w:lang w:val="es-PE"/>
        </w:rPr>
        <w:t>, en cuanto a la conveniencia de contar con tribunales arbitrales unipersonales o colegiados, y que existen variadas razones y argumentos a favor y en contra de cada uno de las posibilidades</w:t>
      </w:r>
      <w:r w:rsidRPr="00740E60">
        <w:rPr>
          <w:rStyle w:val="Refdenotaalpie"/>
          <w:rFonts w:ascii="Garamond" w:hAnsi="Garamond"/>
          <w:sz w:val="24"/>
          <w:szCs w:val="24"/>
          <w:lang w:val="es-PE"/>
        </w:rPr>
        <w:footnoteReference w:id="14"/>
      </w:r>
      <w:r w:rsidRPr="00740E60">
        <w:rPr>
          <w:rFonts w:ascii="Garamond" w:hAnsi="Garamond"/>
          <w:sz w:val="24"/>
          <w:szCs w:val="24"/>
          <w:lang w:val="es-PE"/>
        </w:rPr>
        <w:t>.</w:t>
      </w:r>
      <w:r w:rsidR="000B5D49" w:rsidRPr="00740E60">
        <w:rPr>
          <w:rFonts w:ascii="Garamond" w:hAnsi="Garamond"/>
          <w:sz w:val="24"/>
          <w:szCs w:val="24"/>
          <w:lang w:val="es-PE"/>
        </w:rPr>
        <w:t xml:space="preserve"> La argumentación en favor de los tribunales unipersonales se centra en una mayor economía y en una mayor celeridad en la emisión del laudo. En cambio, la opción de tribunales colegiados se sustenta en la necesidad de que exista una responsabilidad compartida y mayores posibilidades de acierto en la solución del problema, sobre todo en aquellos arbitrajes que entrañan problemas complejos.  </w:t>
      </w:r>
    </w:p>
    <w:p w:rsidR="00C01734" w:rsidRPr="00740E60" w:rsidRDefault="00C01734" w:rsidP="00740E60">
      <w:pPr>
        <w:spacing w:line="360" w:lineRule="auto"/>
        <w:rPr>
          <w:rFonts w:ascii="Garamond" w:hAnsi="Garamond"/>
          <w:sz w:val="24"/>
          <w:szCs w:val="24"/>
          <w:lang w:val="es-PE"/>
        </w:rPr>
      </w:pPr>
    </w:p>
    <w:p w:rsidR="009D70E6" w:rsidRPr="00740E60" w:rsidRDefault="000B5D49" w:rsidP="00E62C81">
      <w:pPr>
        <w:tabs>
          <w:tab w:val="left" w:pos="567"/>
        </w:tabs>
        <w:spacing w:line="360" w:lineRule="auto"/>
        <w:rPr>
          <w:rFonts w:ascii="Garamond" w:hAnsi="Garamond"/>
          <w:b/>
          <w:sz w:val="24"/>
          <w:szCs w:val="24"/>
          <w:u w:val="single"/>
          <w:lang w:val="es-PE"/>
        </w:rPr>
      </w:pPr>
      <w:r w:rsidRPr="00E62C81">
        <w:rPr>
          <w:rFonts w:ascii="Garamond" w:hAnsi="Garamond"/>
          <w:b/>
          <w:sz w:val="24"/>
          <w:szCs w:val="24"/>
          <w:lang w:val="es-PE"/>
        </w:rPr>
        <w:t xml:space="preserve">5.- </w:t>
      </w:r>
      <w:r w:rsidR="00E62C81">
        <w:rPr>
          <w:rFonts w:ascii="Garamond" w:hAnsi="Garamond"/>
          <w:b/>
          <w:sz w:val="24"/>
          <w:szCs w:val="24"/>
          <w:lang w:val="es-PE"/>
        </w:rPr>
        <w:tab/>
      </w:r>
      <w:r w:rsidRPr="00740E60">
        <w:rPr>
          <w:rFonts w:ascii="Garamond" w:hAnsi="Garamond"/>
          <w:b/>
          <w:sz w:val="24"/>
          <w:szCs w:val="24"/>
          <w:u w:val="single"/>
          <w:lang w:val="es-PE"/>
        </w:rPr>
        <w:t xml:space="preserve">LA RECUSACIÓN.- </w:t>
      </w:r>
    </w:p>
    <w:p w:rsidR="009D70E6" w:rsidRPr="00740E60" w:rsidRDefault="009D70E6" w:rsidP="00740E60">
      <w:pPr>
        <w:spacing w:line="360" w:lineRule="auto"/>
        <w:rPr>
          <w:rFonts w:ascii="Garamond" w:hAnsi="Garamond"/>
          <w:b/>
          <w:sz w:val="24"/>
          <w:szCs w:val="24"/>
          <w:lang w:val="es-PE"/>
        </w:rPr>
      </w:pPr>
    </w:p>
    <w:p w:rsidR="00DC13EB" w:rsidRPr="00740E60" w:rsidRDefault="00B421EE" w:rsidP="00740E60">
      <w:pPr>
        <w:spacing w:line="360" w:lineRule="auto"/>
        <w:rPr>
          <w:rFonts w:ascii="Garamond" w:hAnsi="Garamond"/>
          <w:sz w:val="24"/>
          <w:szCs w:val="24"/>
          <w:lang w:val="es-PE"/>
        </w:rPr>
      </w:pPr>
      <w:r w:rsidRPr="00740E60">
        <w:rPr>
          <w:rFonts w:ascii="Garamond" w:hAnsi="Garamond"/>
          <w:sz w:val="24"/>
          <w:szCs w:val="24"/>
          <w:lang w:val="es-PE"/>
        </w:rPr>
        <w:lastRenderedPageBreak/>
        <w:t xml:space="preserve">Conociéndose de árbitros personas físicas, pueden darse una serie de </w:t>
      </w:r>
      <w:r w:rsidR="00B22D88" w:rsidRPr="00740E60">
        <w:rPr>
          <w:rFonts w:ascii="Garamond" w:hAnsi="Garamond"/>
          <w:sz w:val="24"/>
          <w:szCs w:val="24"/>
          <w:lang w:val="es-PE"/>
        </w:rPr>
        <w:t>fases</w:t>
      </w:r>
      <w:r w:rsidRPr="00740E60">
        <w:rPr>
          <w:rFonts w:ascii="Garamond" w:hAnsi="Garamond"/>
          <w:sz w:val="24"/>
          <w:szCs w:val="24"/>
          <w:lang w:val="es-PE"/>
        </w:rPr>
        <w:t xml:space="preserve"> que </w:t>
      </w:r>
      <w:r w:rsidR="00B22D88" w:rsidRPr="00740E60">
        <w:rPr>
          <w:rFonts w:ascii="Garamond" w:hAnsi="Garamond"/>
          <w:sz w:val="24"/>
          <w:szCs w:val="24"/>
          <w:lang w:val="es-PE"/>
        </w:rPr>
        <w:t>perturben</w:t>
      </w:r>
      <w:r w:rsidRPr="00740E60">
        <w:rPr>
          <w:rFonts w:ascii="Garamond" w:hAnsi="Garamond"/>
          <w:sz w:val="24"/>
          <w:szCs w:val="24"/>
          <w:lang w:val="es-PE"/>
        </w:rPr>
        <w:t xml:space="preserve"> el programa establecido por las partes </w:t>
      </w:r>
      <w:r w:rsidR="00DC13EB" w:rsidRPr="00740E60">
        <w:rPr>
          <w:rFonts w:ascii="Garamond" w:hAnsi="Garamond"/>
          <w:sz w:val="24"/>
          <w:szCs w:val="24"/>
          <w:lang w:val="es-PE"/>
        </w:rPr>
        <w:t>al decidir el sometimiento a arbitraje. Los árbitros pueden fallecer, incapacitarse renunciar o ser recusados.</w:t>
      </w:r>
    </w:p>
    <w:p w:rsidR="00DC13EB" w:rsidRPr="00740E60" w:rsidRDefault="00DC13EB" w:rsidP="00740E60">
      <w:pPr>
        <w:spacing w:line="360" w:lineRule="auto"/>
        <w:rPr>
          <w:rFonts w:ascii="Garamond" w:hAnsi="Garamond"/>
          <w:sz w:val="24"/>
          <w:szCs w:val="24"/>
          <w:lang w:val="es-PE"/>
        </w:rPr>
      </w:pPr>
    </w:p>
    <w:p w:rsidR="00B22D88" w:rsidRPr="00740E60" w:rsidRDefault="00DC13EB" w:rsidP="00740E60">
      <w:pPr>
        <w:spacing w:line="360" w:lineRule="auto"/>
        <w:rPr>
          <w:rFonts w:ascii="Garamond" w:hAnsi="Garamond"/>
          <w:sz w:val="24"/>
          <w:szCs w:val="24"/>
          <w:lang w:val="es-PE"/>
        </w:rPr>
      </w:pPr>
      <w:r w:rsidRPr="00740E60">
        <w:rPr>
          <w:rFonts w:ascii="Garamond" w:hAnsi="Garamond"/>
          <w:sz w:val="24"/>
          <w:szCs w:val="24"/>
          <w:lang w:val="es-PE"/>
        </w:rPr>
        <w:t xml:space="preserve">La recusación es de vital importancia </w:t>
      </w:r>
      <w:r w:rsidR="00B22D88" w:rsidRPr="00740E60">
        <w:rPr>
          <w:rFonts w:ascii="Garamond" w:hAnsi="Garamond"/>
          <w:sz w:val="24"/>
          <w:szCs w:val="24"/>
          <w:lang w:val="es-PE"/>
        </w:rPr>
        <w:t>ya que</w:t>
      </w:r>
      <w:r w:rsidRPr="00740E60">
        <w:rPr>
          <w:rFonts w:ascii="Garamond" w:hAnsi="Garamond"/>
          <w:sz w:val="24"/>
          <w:szCs w:val="24"/>
          <w:lang w:val="es-PE"/>
        </w:rPr>
        <w:t xml:space="preserve"> se trata </w:t>
      </w:r>
      <w:r w:rsidR="00B22D88" w:rsidRPr="00740E60">
        <w:rPr>
          <w:rFonts w:ascii="Garamond" w:hAnsi="Garamond"/>
          <w:sz w:val="24"/>
          <w:szCs w:val="24"/>
          <w:lang w:val="es-PE"/>
        </w:rPr>
        <w:t>de la vía</w:t>
      </w:r>
      <w:r w:rsidRPr="00740E60">
        <w:rPr>
          <w:rFonts w:ascii="Garamond" w:hAnsi="Garamond"/>
          <w:sz w:val="24"/>
          <w:szCs w:val="24"/>
          <w:lang w:val="es-PE"/>
        </w:rPr>
        <w:t xml:space="preserve"> que hay que recorrer para </w:t>
      </w:r>
      <w:r w:rsidR="00B22D88" w:rsidRPr="00740E60">
        <w:rPr>
          <w:rFonts w:ascii="Garamond" w:hAnsi="Garamond"/>
          <w:sz w:val="24"/>
          <w:szCs w:val="24"/>
          <w:lang w:val="es-PE"/>
        </w:rPr>
        <w:t>conseguir</w:t>
      </w:r>
      <w:r w:rsidRPr="00740E60">
        <w:rPr>
          <w:rFonts w:ascii="Garamond" w:hAnsi="Garamond"/>
          <w:sz w:val="24"/>
          <w:szCs w:val="24"/>
          <w:lang w:val="es-PE"/>
        </w:rPr>
        <w:t xml:space="preserve"> un objetivo </w:t>
      </w:r>
      <w:r w:rsidR="00B22D88" w:rsidRPr="00740E60">
        <w:rPr>
          <w:rFonts w:ascii="Garamond" w:hAnsi="Garamond"/>
          <w:sz w:val="24"/>
          <w:szCs w:val="24"/>
          <w:lang w:val="es-PE"/>
        </w:rPr>
        <w:t>trascendental</w:t>
      </w:r>
      <w:r w:rsidRPr="00740E60">
        <w:rPr>
          <w:rFonts w:ascii="Garamond" w:hAnsi="Garamond"/>
          <w:sz w:val="24"/>
          <w:szCs w:val="24"/>
          <w:lang w:val="es-PE"/>
        </w:rPr>
        <w:t xml:space="preserve"> como </w:t>
      </w:r>
      <w:r w:rsidR="00B22D88" w:rsidRPr="00740E60">
        <w:rPr>
          <w:rFonts w:ascii="Garamond" w:hAnsi="Garamond"/>
          <w:sz w:val="24"/>
          <w:szCs w:val="24"/>
          <w:lang w:val="es-PE"/>
        </w:rPr>
        <w:t xml:space="preserve">es </w:t>
      </w:r>
      <w:r w:rsidRPr="00740E60">
        <w:rPr>
          <w:rFonts w:ascii="Garamond" w:hAnsi="Garamond"/>
          <w:sz w:val="24"/>
          <w:szCs w:val="24"/>
          <w:lang w:val="es-PE"/>
        </w:rPr>
        <w:t xml:space="preserve">la de apartar del </w:t>
      </w:r>
      <w:r w:rsidR="00B22D88" w:rsidRPr="00740E60">
        <w:rPr>
          <w:rFonts w:ascii="Garamond" w:hAnsi="Garamond"/>
          <w:sz w:val="24"/>
          <w:szCs w:val="24"/>
          <w:lang w:val="es-PE"/>
        </w:rPr>
        <w:t>p</w:t>
      </w:r>
      <w:r w:rsidRPr="00740E60">
        <w:rPr>
          <w:rFonts w:ascii="Garamond" w:hAnsi="Garamond"/>
          <w:sz w:val="24"/>
          <w:szCs w:val="24"/>
          <w:lang w:val="es-PE"/>
        </w:rPr>
        <w:t>roceso</w:t>
      </w:r>
      <w:r w:rsidR="00B22D88" w:rsidRPr="00740E60">
        <w:rPr>
          <w:rFonts w:ascii="Garamond" w:hAnsi="Garamond"/>
          <w:sz w:val="24"/>
          <w:szCs w:val="24"/>
          <w:lang w:val="es-PE"/>
        </w:rPr>
        <w:t xml:space="preserve"> al árbitro que, por cualquier motivo de lugar a vacilaciones justificadas sobre su imparcialidad e independencia.</w:t>
      </w:r>
    </w:p>
    <w:p w:rsidR="007036FC" w:rsidRPr="00740E60" w:rsidRDefault="007036FC" w:rsidP="00740E60">
      <w:pPr>
        <w:spacing w:line="360" w:lineRule="auto"/>
        <w:rPr>
          <w:rFonts w:ascii="Garamond" w:hAnsi="Garamond"/>
          <w:sz w:val="24"/>
          <w:szCs w:val="24"/>
          <w:lang w:val="es-PE"/>
        </w:rPr>
      </w:pPr>
    </w:p>
    <w:p w:rsidR="009F74D9" w:rsidRPr="00740E60" w:rsidRDefault="002D724C" w:rsidP="00740E60">
      <w:pPr>
        <w:spacing w:line="360" w:lineRule="auto"/>
        <w:rPr>
          <w:rFonts w:ascii="Garamond" w:hAnsi="Garamond"/>
          <w:sz w:val="24"/>
          <w:szCs w:val="24"/>
          <w:lang w:val="es-PE"/>
        </w:rPr>
      </w:pPr>
      <w:r w:rsidRPr="00740E60">
        <w:rPr>
          <w:rFonts w:ascii="Garamond" w:hAnsi="Garamond"/>
          <w:sz w:val="24"/>
          <w:szCs w:val="24"/>
          <w:lang w:val="es-PE"/>
        </w:rPr>
        <w:t xml:space="preserve">Analizando los motivos de recusación en el artículo 28 de la </w:t>
      </w:r>
      <w:proofErr w:type="spellStart"/>
      <w:r w:rsidRPr="00740E60">
        <w:rPr>
          <w:rFonts w:ascii="Garamond" w:hAnsi="Garamond"/>
          <w:sz w:val="24"/>
          <w:szCs w:val="24"/>
          <w:lang w:val="es-PE"/>
        </w:rPr>
        <w:t>LA</w:t>
      </w:r>
      <w:proofErr w:type="spellEnd"/>
      <w:r w:rsidRPr="00740E60">
        <w:rPr>
          <w:rFonts w:ascii="Garamond" w:hAnsi="Garamond"/>
          <w:sz w:val="24"/>
          <w:szCs w:val="24"/>
          <w:lang w:val="es-PE"/>
        </w:rPr>
        <w:t xml:space="preserve">, podemos limitarnos a decir que la recusación se trata de una clausula abierta, pues no están previstas específicamente las circunstancias que justifican la recusación. Sin embargo, lo cierto es que debe tratarse de supuestos que afecten la confianza de las partes en los árbitros para resolver </w:t>
      </w:r>
      <w:r w:rsidR="009F74D9" w:rsidRPr="00740E60">
        <w:rPr>
          <w:rFonts w:ascii="Garamond" w:hAnsi="Garamond"/>
          <w:sz w:val="24"/>
          <w:szCs w:val="24"/>
          <w:lang w:val="es-PE"/>
        </w:rPr>
        <w:t>el conflicto de intereses.</w:t>
      </w:r>
    </w:p>
    <w:p w:rsidR="009F74D9" w:rsidRPr="00740E60" w:rsidRDefault="009F74D9" w:rsidP="00740E60">
      <w:pPr>
        <w:spacing w:line="360" w:lineRule="auto"/>
        <w:rPr>
          <w:rFonts w:ascii="Garamond" w:hAnsi="Garamond"/>
          <w:sz w:val="24"/>
          <w:szCs w:val="24"/>
          <w:lang w:val="es-PE"/>
        </w:rPr>
      </w:pPr>
    </w:p>
    <w:p w:rsidR="00005154" w:rsidRPr="00740E60" w:rsidRDefault="009F74D9" w:rsidP="00740E60">
      <w:pPr>
        <w:spacing w:line="360" w:lineRule="auto"/>
        <w:rPr>
          <w:rFonts w:ascii="Garamond" w:hAnsi="Garamond"/>
          <w:sz w:val="24"/>
          <w:szCs w:val="24"/>
          <w:lang w:val="es-PE"/>
        </w:rPr>
      </w:pPr>
      <w:r w:rsidRPr="00740E60">
        <w:rPr>
          <w:rFonts w:ascii="Garamond" w:hAnsi="Garamond"/>
          <w:sz w:val="24"/>
          <w:szCs w:val="24"/>
          <w:lang w:val="es-PE"/>
        </w:rPr>
        <w:t xml:space="preserve">Por lo tanto, la relación de los árbitros con las partes o cualquier predominio de las mismas sobre aquél, que puedan enturbiar la imagen del árbitro, </w:t>
      </w:r>
      <w:r w:rsidR="00005154" w:rsidRPr="00740E60">
        <w:rPr>
          <w:rFonts w:ascii="Garamond" w:hAnsi="Garamond"/>
          <w:sz w:val="24"/>
          <w:szCs w:val="24"/>
          <w:lang w:val="es-PE"/>
        </w:rPr>
        <w:t xml:space="preserve">creando dudas sobre su imparcialidad o independencia, podrán constituir causal de recusación. También el motivo de donde inciden la capacidad de desempeñar adecuadamente su función del árbitro. </w:t>
      </w:r>
    </w:p>
    <w:p w:rsidR="00005154" w:rsidRPr="00740E60" w:rsidRDefault="00005154" w:rsidP="00740E60">
      <w:pPr>
        <w:spacing w:line="360" w:lineRule="auto"/>
        <w:rPr>
          <w:rFonts w:ascii="Garamond" w:hAnsi="Garamond"/>
          <w:sz w:val="24"/>
          <w:szCs w:val="24"/>
          <w:lang w:val="es-PE"/>
        </w:rPr>
      </w:pPr>
    </w:p>
    <w:p w:rsidR="0063179D" w:rsidRPr="00740E60" w:rsidRDefault="00005154" w:rsidP="00740E60">
      <w:pPr>
        <w:spacing w:line="360" w:lineRule="auto"/>
        <w:rPr>
          <w:rFonts w:ascii="Garamond" w:hAnsi="Garamond"/>
          <w:sz w:val="24"/>
          <w:szCs w:val="24"/>
          <w:lang w:val="es-PE"/>
        </w:rPr>
      </w:pPr>
      <w:r w:rsidRPr="00740E60">
        <w:rPr>
          <w:rFonts w:ascii="Garamond" w:hAnsi="Garamond"/>
          <w:sz w:val="24"/>
          <w:szCs w:val="24"/>
          <w:lang w:val="es-PE"/>
        </w:rPr>
        <w:t xml:space="preserve">El </w:t>
      </w:r>
      <w:r w:rsidR="0063179D" w:rsidRPr="00740E60">
        <w:rPr>
          <w:rFonts w:ascii="Garamond" w:hAnsi="Garamond"/>
          <w:sz w:val="24"/>
          <w:szCs w:val="24"/>
          <w:lang w:val="es-PE"/>
        </w:rPr>
        <w:t>artículo</w:t>
      </w:r>
      <w:r w:rsidRPr="00740E60">
        <w:rPr>
          <w:rFonts w:ascii="Garamond" w:hAnsi="Garamond"/>
          <w:sz w:val="24"/>
          <w:szCs w:val="24"/>
          <w:lang w:val="es-PE"/>
        </w:rPr>
        <w:t xml:space="preserve"> 29</w:t>
      </w:r>
      <w:r w:rsidR="009D70E6" w:rsidRPr="00740E60">
        <w:rPr>
          <w:rFonts w:ascii="Garamond" w:hAnsi="Garamond"/>
          <w:sz w:val="24"/>
          <w:szCs w:val="24"/>
          <w:lang w:val="es-PE"/>
        </w:rPr>
        <w:t xml:space="preserve">° </w:t>
      </w:r>
      <w:r w:rsidR="0063179D" w:rsidRPr="00740E60">
        <w:rPr>
          <w:rFonts w:ascii="Garamond" w:hAnsi="Garamond"/>
          <w:sz w:val="24"/>
          <w:szCs w:val="24"/>
          <w:lang w:val="es-PE"/>
        </w:rPr>
        <w:t xml:space="preserve">de la </w:t>
      </w:r>
      <w:proofErr w:type="spellStart"/>
      <w:r w:rsidR="0063179D" w:rsidRPr="00740E60">
        <w:rPr>
          <w:rFonts w:ascii="Garamond" w:hAnsi="Garamond"/>
          <w:sz w:val="24"/>
          <w:szCs w:val="24"/>
          <w:lang w:val="es-PE"/>
        </w:rPr>
        <w:t>LA</w:t>
      </w:r>
      <w:proofErr w:type="spellEnd"/>
      <w:r w:rsidR="0063179D" w:rsidRPr="00740E60">
        <w:rPr>
          <w:rFonts w:ascii="Garamond" w:hAnsi="Garamond"/>
          <w:sz w:val="24"/>
          <w:szCs w:val="24"/>
          <w:lang w:val="es-PE"/>
        </w:rPr>
        <w:t xml:space="preserve"> permite que las partes puedan pactar un procedimiento de recusación de árbitros o que se sometan al previsto en un reglamento arbitral. Sin embargo, si no existiera esto se aplicaría el procedimiento establecido en la norma.</w:t>
      </w:r>
      <w:r w:rsidR="0063179D" w:rsidRPr="00740E60">
        <w:rPr>
          <w:rStyle w:val="Refdenotaalpie"/>
          <w:rFonts w:ascii="Garamond" w:hAnsi="Garamond"/>
          <w:sz w:val="24"/>
          <w:szCs w:val="24"/>
          <w:lang w:val="es-PE"/>
        </w:rPr>
        <w:footnoteReference w:id="15"/>
      </w:r>
    </w:p>
    <w:p w:rsidR="00973659" w:rsidRPr="00740E60" w:rsidRDefault="00973659" w:rsidP="00740E60">
      <w:pPr>
        <w:spacing w:line="360" w:lineRule="auto"/>
        <w:rPr>
          <w:rFonts w:ascii="Garamond" w:hAnsi="Garamond"/>
          <w:sz w:val="24"/>
          <w:szCs w:val="24"/>
          <w:lang w:val="es-PE"/>
        </w:rPr>
      </w:pPr>
    </w:p>
    <w:p w:rsidR="00973659" w:rsidRPr="00740E60" w:rsidRDefault="00973659" w:rsidP="00740E60">
      <w:pPr>
        <w:spacing w:line="360" w:lineRule="auto"/>
        <w:rPr>
          <w:rFonts w:ascii="Garamond" w:hAnsi="Garamond"/>
          <w:sz w:val="24"/>
          <w:szCs w:val="24"/>
          <w:lang w:val="es-PE"/>
        </w:rPr>
      </w:pPr>
      <w:r w:rsidRPr="00740E60">
        <w:rPr>
          <w:rFonts w:ascii="Garamond" w:hAnsi="Garamond"/>
          <w:sz w:val="24"/>
          <w:szCs w:val="24"/>
          <w:lang w:val="es-PE"/>
        </w:rPr>
        <w:t xml:space="preserve">La </w:t>
      </w:r>
      <w:proofErr w:type="spellStart"/>
      <w:r w:rsidRPr="00740E60">
        <w:rPr>
          <w:rFonts w:ascii="Garamond" w:hAnsi="Garamond"/>
          <w:sz w:val="24"/>
          <w:szCs w:val="24"/>
          <w:lang w:val="es-PE"/>
        </w:rPr>
        <w:t>LA</w:t>
      </w:r>
      <w:r w:rsidR="00B30B6E" w:rsidRPr="00740E60">
        <w:rPr>
          <w:rFonts w:ascii="Garamond" w:hAnsi="Garamond"/>
          <w:sz w:val="24"/>
          <w:szCs w:val="24"/>
          <w:lang w:val="es-PE"/>
        </w:rPr>
        <w:t>sitúa</w:t>
      </w:r>
      <w:proofErr w:type="spellEnd"/>
      <w:r w:rsidRPr="00740E60">
        <w:rPr>
          <w:rFonts w:ascii="Garamond" w:hAnsi="Garamond"/>
          <w:sz w:val="24"/>
          <w:szCs w:val="24"/>
          <w:lang w:val="es-PE"/>
        </w:rPr>
        <w:t xml:space="preserve"> que la recusación debe formularse </w:t>
      </w:r>
      <w:r w:rsidR="00B30B6E" w:rsidRPr="00740E60">
        <w:rPr>
          <w:rFonts w:ascii="Garamond" w:hAnsi="Garamond"/>
          <w:sz w:val="24"/>
          <w:szCs w:val="24"/>
          <w:lang w:val="es-PE"/>
        </w:rPr>
        <w:t xml:space="preserve">una vezque </w:t>
      </w:r>
      <w:r w:rsidRPr="00740E60">
        <w:rPr>
          <w:rFonts w:ascii="Garamond" w:hAnsi="Garamond"/>
          <w:sz w:val="24"/>
          <w:szCs w:val="24"/>
          <w:lang w:val="es-PE"/>
        </w:rPr>
        <w:t xml:space="preserve">sea conocida la causal que la motiva. Esto se </w:t>
      </w:r>
      <w:r w:rsidR="00B30B6E" w:rsidRPr="00740E60">
        <w:rPr>
          <w:rFonts w:ascii="Garamond" w:hAnsi="Garamond"/>
          <w:sz w:val="24"/>
          <w:szCs w:val="24"/>
          <w:lang w:val="es-PE"/>
        </w:rPr>
        <w:t>conviene</w:t>
      </w:r>
      <w:r w:rsidR="003804AD" w:rsidRPr="00740E60">
        <w:rPr>
          <w:rFonts w:ascii="Garamond" w:hAnsi="Garamond"/>
          <w:sz w:val="24"/>
          <w:szCs w:val="24"/>
          <w:lang w:val="es-PE"/>
        </w:rPr>
        <w:t xml:space="preserve">con la buena fe y lealtad procesal, y se justifica en que la recusación responda a una efectiva percepción de la afectación a la independencia e imparcialidad </w:t>
      </w:r>
      <w:r w:rsidR="005A4A6F" w:rsidRPr="00740E60">
        <w:rPr>
          <w:rFonts w:ascii="Garamond" w:hAnsi="Garamond"/>
          <w:sz w:val="24"/>
          <w:szCs w:val="24"/>
          <w:lang w:val="es-PE"/>
        </w:rPr>
        <w:t>del árbitro por la parte recusante, lo que ocasiona que dicha parte no pueda tolerar su presencia en el proceso desde el momento que conoció la causal.</w:t>
      </w:r>
      <w:r w:rsidR="00BE3CF1" w:rsidRPr="00740E60">
        <w:rPr>
          <w:rFonts w:ascii="Garamond" w:hAnsi="Garamond"/>
          <w:sz w:val="24"/>
          <w:szCs w:val="24"/>
          <w:lang w:val="es-PE"/>
        </w:rPr>
        <w:t xml:space="preserve"> De esta manera, luego de conocida la causal y antes de formular  la recusación, la parte recurrente no deberá haber formulado ningún pedido en el proceso respecto del cual el árbitro cuestionado pueda tomar alguna decisión.</w:t>
      </w:r>
    </w:p>
    <w:p w:rsidR="000B5D49" w:rsidRPr="00740E60" w:rsidRDefault="000B5D49" w:rsidP="00740E60">
      <w:pPr>
        <w:spacing w:line="360" w:lineRule="auto"/>
        <w:rPr>
          <w:rFonts w:ascii="Garamond" w:hAnsi="Garamond"/>
          <w:b/>
          <w:sz w:val="24"/>
          <w:szCs w:val="24"/>
          <w:lang w:val="es-PE"/>
        </w:rPr>
      </w:pPr>
    </w:p>
    <w:p w:rsidR="00230DB9" w:rsidRPr="00740E60" w:rsidRDefault="007A616B" w:rsidP="00740E60">
      <w:pPr>
        <w:spacing w:line="360" w:lineRule="auto"/>
        <w:rPr>
          <w:rFonts w:ascii="Garamond" w:hAnsi="Garamond"/>
          <w:sz w:val="24"/>
          <w:szCs w:val="24"/>
          <w:lang w:val="es-PE"/>
        </w:rPr>
      </w:pPr>
      <w:r w:rsidRPr="00740E60">
        <w:rPr>
          <w:rFonts w:ascii="Garamond" w:hAnsi="Garamond"/>
          <w:sz w:val="24"/>
          <w:szCs w:val="24"/>
          <w:lang w:val="es-PE"/>
        </w:rPr>
        <w:lastRenderedPageBreak/>
        <w:t>El artículo</w:t>
      </w:r>
      <w:r w:rsidR="009A67B1" w:rsidRPr="00740E60">
        <w:rPr>
          <w:rFonts w:ascii="Garamond" w:hAnsi="Garamond"/>
          <w:sz w:val="24"/>
          <w:szCs w:val="24"/>
          <w:lang w:val="es-PE"/>
        </w:rPr>
        <w:t xml:space="preserve"> 29°, inciso 3 de la </w:t>
      </w:r>
      <w:proofErr w:type="spellStart"/>
      <w:r w:rsidR="009A67B1" w:rsidRPr="00740E60">
        <w:rPr>
          <w:rFonts w:ascii="Garamond" w:hAnsi="Garamond"/>
          <w:sz w:val="24"/>
          <w:szCs w:val="24"/>
          <w:lang w:val="es-PE"/>
        </w:rPr>
        <w:t>LA</w:t>
      </w:r>
      <w:proofErr w:type="spellEnd"/>
      <w:r w:rsidR="009A67B1" w:rsidRPr="00740E60">
        <w:rPr>
          <w:rFonts w:ascii="Garamond" w:hAnsi="Garamond"/>
          <w:sz w:val="24"/>
          <w:szCs w:val="24"/>
          <w:lang w:val="es-PE"/>
        </w:rPr>
        <w:t xml:space="preserve"> constituye, que salvo pacto en contrario, iniciado el plazo para laudar no procede recusación alguna, con lo cual en esta etapa del proceso arbitral las partes, a pesar de conocer de alguna circunstancia que afecte la imparcialidad o independencia del árbitro, no pueden solicitar que éste sea apartado del proceso por la vía de la recusación.</w:t>
      </w:r>
    </w:p>
    <w:p w:rsidR="002F331E" w:rsidRPr="00740E60" w:rsidRDefault="002F331E" w:rsidP="00740E60">
      <w:pPr>
        <w:spacing w:line="360" w:lineRule="auto"/>
        <w:rPr>
          <w:rFonts w:ascii="Garamond" w:hAnsi="Garamond"/>
          <w:sz w:val="24"/>
          <w:szCs w:val="24"/>
          <w:lang w:val="es-PE"/>
        </w:rPr>
      </w:pPr>
    </w:p>
    <w:p w:rsidR="002F331E" w:rsidRPr="00740E60" w:rsidRDefault="006B0012" w:rsidP="00740E60">
      <w:pPr>
        <w:spacing w:line="360" w:lineRule="auto"/>
        <w:rPr>
          <w:rFonts w:ascii="Garamond" w:hAnsi="Garamond"/>
          <w:sz w:val="24"/>
          <w:szCs w:val="24"/>
          <w:lang w:val="es-PE"/>
        </w:rPr>
      </w:pPr>
      <w:r w:rsidRPr="00740E60">
        <w:rPr>
          <w:rFonts w:ascii="Garamond" w:hAnsi="Garamond"/>
          <w:sz w:val="24"/>
          <w:szCs w:val="24"/>
          <w:lang w:val="es-PE"/>
        </w:rPr>
        <w:t xml:space="preserve">Si el </w:t>
      </w:r>
      <w:r w:rsidR="00012882" w:rsidRPr="00740E60">
        <w:rPr>
          <w:rFonts w:ascii="Garamond" w:hAnsi="Garamond"/>
          <w:sz w:val="24"/>
          <w:szCs w:val="24"/>
          <w:lang w:val="es-PE"/>
        </w:rPr>
        <w:t>árbitro</w:t>
      </w:r>
      <w:r w:rsidRPr="00740E60">
        <w:rPr>
          <w:rFonts w:ascii="Garamond" w:hAnsi="Garamond"/>
          <w:sz w:val="24"/>
          <w:szCs w:val="24"/>
          <w:lang w:val="es-PE"/>
        </w:rPr>
        <w:t xml:space="preserve"> no cumpliese con el deber de considerar su renuncia o simplemente no renuncia, la parte perjudicada podrá impugnar el laudo, pues al haber sido emitido </w:t>
      </w:r>
      <w:r w:rsidR="00012882" w:rsidRPr="00740E60">
        <w:rPr>
          <w:rFonts w:ascii="Garamond" w:hAnsi="Garamond"/>
          <w:sz w:val="24"/>
          <w:szCs w:val="24"/>
          <w:lang w:val="es-PE"/>
        </w:rPr>
        <w:t>por el árbitro incurso en causal de recusación se ha violado el derecho fundamental de la parte al debido proceso, al haber sido juzgado por un árbitro que no es imparcial o que carece de independencia.</w:t>
      </w:r>
    </w:p>
    <w:p w:rsidR="008759DE" w:rsidRPr="00740E60" w:rsidRDefault="008759DE" w:rsidP="00740E60">
      <w:pPr>
        <w:spacing w:line="360" w:lineRule="auto"/>
        <w:rPr>
          <w:rFonts w:ascii="Garamond" w:hAnsi="Garamond"/>
          <w:sz w:val="24"/>
          <w:szCs w:val="24"/>
          <w:lang w:val="es-PE"/>
        </w:rPr>
      </w:pPr>
    </w:p>
    <w:p w:rsidR="009D70E6" w:rsidRPr="00740E60" w:rsidRDefault="008759DE" w:rsidP="00E62C81">
      <w:pPr>
        <w:tabs>
          <w:tab w:val="left" w:pos="567"/>
        </w:tabs>
        <w:spacing w:line="360" w:lineRule="auto"/>
        <w:rPr>
          <w:rFonts w:ascii="Garamond" w:hAnsi="Garamond"/>
          <w:b/>
          <w:sz w:val="24"/>
          <w:szCs w:val="24"/>
          <w:u w:val="single"/>
          <w:lang w:val="es-PE"/>
        </w:rPr>
      </w:pPr>
      <w:r w:rsidRPr="00E62C81">
        <w:rPr>
          <w:rFonts w:ascii="Garamond" w:hAnsi="Garamond"/>
          <w:b/>
          <w:sz w:val="24"/>
          <w:szCs w:val="24"/>
          <w:lang w:val="es-PE"/>
        </w:rPr>
        <w:t xml:space="preserve">6.- </w:t>
      </w:r>
      <w:r w:rsidR="00E62C81">
        <w:rPr>
          <w:rFonts w:ascii="Garamond" w:hAnsi="Garamond"/>
          <w:b/>
          <w:sz w:val="24"/>
          <w:szCs w:val="24"/>
          <w:lang w:val="es-PE"/>
        </w:rPr>
        <w:tab/>
      </w:r>
      <w:r w:rsidRPr="00740E60">
        <w:rPr>
          <w:rFonts w:ascii="Garamond" w:hAnsi="Garamond"/>
          <w:b/>
          <w:sz w:val="24"/>
          <w:szCs w:val="24"/>
          <w:u w:val="single"/>
          <w:lang w:val="es-PE"/>
        </w:rPr>
        <w:t>EL PROCEDIMIENTO ARBITRAL.-</w:t>
      </w:r>
    </w:p>
    <w:p w:rsidR="009D70E6" w:rsidRPr="00740E60" w:rsidRDefault="009D70E6" w:rsidP="00740E60">
      <w:pPr>
        <w:spacing w:line="360" w:lineRule="auto"/>
        <w:rPr>
          <w:rFonts w:ascii="Garamond" w:hAnsi="Garamond"/>
          <w:b/>
          <w:sz w:val="24"/>
          <w:szCs w:val="24"/>
          <w:lang w:val="es-PE"/>
        </w:rPr>
      </w:pPr>
    </w:p>
    <w:p w:rsidR="00297289" w:rsidRPr="00740E60" w:rsidRDefault="00B679AF" w:rsidP="00740E60">
      <w:pPr>
        <w:spacing w:line="360" w:lineRule="auto"/>
        <w:rPr>
          <w:rFonts w:ascii="Garamond" w:hAnsi="Garamond"/>
          <w:sz w:val="24"/>
          <w:szCs w:val="24"/>
          <w:lang w:val="es-PE"/>
        </w:rPr>
      </w:pPr>
      <w:r w:rsidRPr="00740E60">
        <w:rPr>
          <w:rFonts w:ascii="Garamond" w:hAnsi="Garamond"/>
          <w:sz w:val="24"/>
          <w:szCs w:val="24"/>
          <w:lang w:val="es-PE"/>
        </w:rPr>
        <w:t xml:space="preserve">El inicio </w:t>
      </w:r>
      <w:r w:rsidR="00291DFB" w:rsidRPr="00740E60">
        <w:rPr>
          <w:rFonts w:ascii="Garamond" w:hAnsi="Garamond"/>
          <w:sz w:val="24"/>
          <w:szCs w:val="24"/>
          <w:lang w:val="es-PE"/>
        </w:rPr>
        <w:t xml:space="preserve">del proceso arbitral se condiciona, en todo caso, a lo que las partes hayan convenido sobre el momento de su iniciación, aplicándose así una vez el principio de autonomía de voluntad de las partes. </w:t>
      </w:r>
      <w:r w:rsidR="006A24F6" w:rsidRPr="00740E60">
        <w:rPr>
          <w:rFonts w:ascii="Garamond" w:hAnsi="Garamond"/>
          <w:sz w:val="24"/>
          <w:szCs w:val="24"/>
          <w:lang w:val="es-PE"/>
        </w:rPr>
        <w:t>Pero, en caso que las partes no hayan conv</w:t>
      </w:r>
      <w:r w:rsidR="000F38F2" w:rsidRPr="00740E60">
        <w:rPr>
          <w:rFonts w:ascii="Garamond" w:hAnsi="Garamond"/>
          <w:sz w:val="24"/>
          <w:szCs w:val="24"/>
          <w:lang w:val="es-PE"/>
        </w:rPr>
        <w:t>enido nada sobre el inicio</w:t>
      </w:r>
      <w:r w:rsidR="00D4589E" w:rsidRPr="00740E60">
        <w:rPr>
          <w:rFonts w:ascii="Garamond" w:hAnsi="Garamond"/>
          <w:sz w:val="24"/>
          <w:szCs w:val="24"/>
          <w:lang w:val="es-PE"/>
        </w:rPr>
        <w:t xml:space="preserve"> del Arbitraje, se entiende que es un proceso Ad Hoc y que su regulación está amparada en el Reglamento de la Ley de Contrataciones del Estado, Decreto Supremo Nº 184-2008-EF, en la Ley de Arbitraje, Decreto Legislativo Nº 1071, y las directivas que dicta el OSCE, sobre el particular, por lo general existe un modelo </w:t>
      </w:r>
      <w:r w:rsidR="00A9516B" w:rsidRPr="00740E60">
        <w:rPr>
          <w:rFonts w:ascii="Garamond" w:hAnsi="Garamond"/>
          <w:sz w:val="24"/>
          <w:szCs w:val="24"/>
          <w:lang w:val="es-PE"/>
        </w:rPr>
        <w:t xml:space="preserve">de Acta que es utilizada como las reglas del procedimiento arbitral, que fue aprobado la Directiva Nº 003-2005/CONSUCODE/PRE. </w:t>
      </w:r>
    </w:p>
    <w:p w:rsidR="00A9516B" w:rsidRPr="00740E60" w:rsidRDefault="00A9516B" w:rsidP="00740E60">
      <w:pPr>
        <w:spacing w:line="360" w:lineRule="auto"/>
        <w:rPr>
          <w:rFonts w:ascii="Garamond" w:hAnsi="Garamond"/>
          <w:sz w:val="24"/>
          <w:szCs w:val="24"/>
          <w:lang w:val="es-PE"/>
        </w:rPr>
      </w:pPr>
    </w:p>
    <w:p w:rsidR="00A9516B" w:rsidRPr="00740E60" w:rsidRDefault="00A9516B" w:rsidP="00740E60">
      <w:pPr>
        <w:spacing w:line="360" w:lineRule="auto"/>
        <w:rPr>
          <w:rFonts w:ascii="Garamond" w:hAnsi="Garamond"/>
          <w:sz w:val="24"/>
          <w:szCs w:val="24"/>
          <w:lang w:val="es-PE"/>
        </w:rPr>
      </w:pPr>
      <w:r w:rsidRPr="00740E60">
        <w:rPr>
          <w:rFonts w:ascii="Garamond" w:hAnsi="Garamond"/>
          <w:sz w:val="24"/>
          <w:szCs w:val="24"/>
          <w:lang w:val="es-PE"/>
        </w:rPr>
        <w:t>En caso de que las partes hayan acordado que el proceso arbitral sea conocida por un Centro Arbitral o Centro de Arbitraje, se regula en primer término por el Reglamento del Centro de Arbitraje, así se tiene por ejemplo, que la Dirección de Arbitraje Administrativo del OSCE, tiene su reglamento aprobado por Resolución Nº 016-2004-CONSUCODE/PRE.</w:t>
      </w:r>
    </w:p>
    <w:p w:rsidR="00A9516B" w:rsidRPr="00740E60" w:rsidRDefault="00A9516B" w:rsidP="00740E60">
      <w:pPr>
        <w:spacing w:line="360" w:lineRule="auto"/>
        <w:rPr>
          <w:rFonts w:ascii="Garamond" w:hAnsi="Garamond"/>
          <w:sz w:val="24"/>
          <w:szCs w:val="24"/>
          <w:lang w:val="es-PE"/>
        </w:rPr>
      </w:pPr>
    </w:p>
    <w:p w:rsidR="00A9516B" w:rsidRPr="00740E60" w:rsidRDefault="00A9516B" w:rsidP="00740E60">
      <w:pPr>
        <w:spacing w:line="360" w:lineRule="auto"/>
        <w:rPr>
          <w:rFonts w:ascii="Garamond" w:hAnsi="Garamond"/>
          <w:sz w:val="24"/>
          <w:szCs w:val="24"/>
          <w:lang w:val="es-PE"/>
        </w:rPr>
      </w:pPr>
      <w:r w:rsidRPr="00740E60">
        <w:rPr>
          <w:rFonts w:ascii="Garamond" w:hAnsi="Garamond"/>
          <w:sz w:val="24"/>
          <w:szCs w:val="24"/>
          <w:lang w:val="es-PE"/>
        </w:rPr>
        <w:t>Es Pertinente precisar, que en la ciudad de Lima, hay varios Centros de Arbitraje, en primer lugar se encuentra la Dirección de Arbitraje Administrativo del OSCE, que es la institución que más arbitra en Contrataciones Públicas, luego se encuentra la Cámara de Comercio de Lima, el Centro de Arbitraje de Resolución de Conflictos de la Pontifica Universidad Católica del Perú, el Colegio de Ingenieros del Perú</w:t>
      </w:r>
      <w:r w:rsidR="006A70F8" w:rsidRPr="00740E60">
        <w:rPr>
          <w:rFonts w:ascii="Garamond" w:hAnsi="Garamond"/>
          <w:sz w:val="24"/>
          <w:szCs w:val="24"/>
          <w:lang w:val="es-PE"/>
        </w:rPr>
        <w:t xml:space="preserve">, AMCHAM, el Colegio de Abogados del Perú, Arbitre, etc.  </w:t>
      </w:r>
    </w:p>
    <w:p w:rsidR="003F743F" w:rsidRPr="00740E60" w:rsidRDefault="003F743F" w:rsidP="00740E60">
      <w:pPr>
        <w:spacing w:line="360" w:lineRule="auto"/>
        <w:rPr>
          <w:rFonts w:ascii="Garamond" w:hAnsi="Garamond"/>
          <w:sz w:val="24"/>
          <w:szCs w:val="24"/>
          <w:lang w:val="es-PE"/>
        </w:rPr>
      </w:pPr>
    </w:p>
    <w:p w:rsidR="009D70E6" w:rsidRPr="00740E60" w:rsidRDefault="00297289" w:rsidP="00E62C81">
      <w:pPr>
        <w:tabs>
          <w:tab w:val="left" w:pos="567"/>
        </w:tabs>
        <w:spacing w:line="360" w:lineRule="auto"/>
        <w:rPr>
          <w:rFonts w:ascii="Garamond" w:hAnsi="Garamond"/>
          <w:b/>
          <w:sz w:val="24"/>
          <w:szCs w:val="24"/>
          <w:lang w:val="es-PE"/>
        </w:rPr>
      </w:pPr>
      <w:r w:rsidRPr="00740E60">
        <w:rPr>
          <w:rFonts w:ascii="Garamond" w:hAnsi="Garamond"/>
          <w:b/>
          <w:sz w:val="24"/>
          <w:szCs w:val="24"/>
          <w:lang w:val="es-PE"/>
        </w:rPr>
        <w:lastRenderedPageBreak/>
        <w:t xml:space="preserve">7.- </w:t>
      </w:r>
      <w:r w:rsidR="00E62C81">
        <w:rPr>
          <w:rFonts w:ascii="Garamond" w:hAnsi="Garamond"/>
          <w:b/>
          <w:sz w:val="24"/>
          <w:szCs w:val="24"/>
          <w:lang w:val="es-PE"/>
        </w:rPr>
        <w:tab/>
      </w:r>
      <w:r w:rsidRPr="00E62C81">
        <w:rPr>
          <w:rFonts w:ascii="Garamond" w:hAnsi="Garamond"/>
          <w:b/>
          <w:sz w:val="24"/>
          <w:szCs w:val="24"/>
          <w:u w:val="single"/>
          <w:lang w:val="es-PE"/>
        </w:rPr>
        <w:t>EL LAUDO</w:t>
      </w:r>
      <w:r w:rsidRPr="00740E60">
        <w:rPr>
          <w:rFonts w:ascii="Garamond" w:hAnsi="Garamond"/>
          <w:b/>
          <w:sz w:val="24"/>
          <w:szCs w:val="24"/>
          <w:lang w:val="es-PE"/>
        </w:rPr>
        <w:t>.-</w:t>
      </w:r>
    </w:p>
    <w:p w:rsidR="006A70F8" w:rsidRPr="00740E60" w:rsidRDefault="006A70F8" w:rsidP="00740E60">
      <w:pPr>
        <w:spacing w:line="360" w:lineRule="auto"/>
        <w:rPr>
          <w:rFonts w:ascii="Garamond" w:hAnsi="Garamond"/>
          <w:b/>
          <w:sz w:val="24"/>
          <w:szCs w:val="24"/>
          <w:lang w:val="es-PE"/>
        </w:rPr>
      </w:pPr>
    </w:p>
    <w:p w:rsidR="009257B6" w:rsidRPr="00740E60" w:rsidRDefault="00377D22" w:rsidP="00740E60">
      <w:pPr>
        <w:spacing w:line="360" w:lineRule="auto"/>
        <w:rPr>
          <w:rFonts w:ascii="Garamond" w:hAnsi="Garamond"/>
          <w:sz w:val="24"/>
          <w:szCs w:val="24"/>
          <w:lang w:val="es-PE"/>
        </w:rPr>
      </w:pPr>
      <w:r w:rsidRPr="00740E60">
        <w:rPr>
          <w:rFonts w:ascii="Garamond" w:hAnsi="Garamond"/>
          <w:sz w:val="24"/>
          <w:szCs w:val="24"/>
          <w:lang w:val="es-PE"/>
        </w:rPr>
        <w:t>El</w:t>
      </w:r>
      <w:r w:rsidR="00FB11C6">
        <w:rPr>
          <w:rFonts w:ascii="Garamond" w:hAnsi="Garamond"/>
          <w:sz w:val="24"/>
          <w:szCs w:val="24"/>
          <w:lang w:val="es-PE"/>
        </w:rPr>
        <w:t>L</w:t>
      </w:r>
      <w:r w:rsidR="00F571C3" w:rsidRPr="00740E60">
        <w:rPr>
          <w:rFonts w:ascii="Garamond" w:hAnsi="Garamond"/>
          <w:sz w:val="24"/>
          <w:szCs w:val="24"/>
          <w:lang w:val="es-PE"/>
        </w:rPr>
        <w:t xml:space="preserve">audo es la decisión emanada de los árbitros que pone fin al litigio. Tiene fuerza vinculante y es obligatorio, resolviendo definitivamente el diferendo que las partes les habían sometido. Constituye la expresión más acabada </w:t>
      </w:r>
      <w:r w:rsidR="009257B6" w:rsidRPr="00740E60">
        <w:rPr>
          <w:rFonts w:ascii="Garamond" w:hAnsi="Garamond"/>
          <w:sz w:val="24"/>
          <w:szCs w:val="24"/>
          <w:lang w:val="es-PE"/>
        </w:rPr>
        <w:t>de la jurisdicción que ejercen los árbitros, al imponer a las partes una solución para las diferencias que los separaban, y es el acto que finalmente tuvieron en mira las partes al pactar el arbitraje como medio de resolución  de sus conflictos.</w:t>
      </w:r>
    </w:p>
    <w:p w:rsidR="009257B6" w:rsidRPr="00740E60" w:rsidRDefault="009257B6" w:rsidP="00740E60">
      <w:pPr>
        <w:spacing w:line="360" w:lineRule="auto"/>
        <w:rPr>
          <w:rFonts w:ascii="Garamond" w:hAnsi="Garamond"/>
          <w:sz w:val="24"/>
          <w:szCs w:val="24"/>
          <w:lang w:val="es-PE"/>
        </w:rPr>
      </w:pPr>
    </w:p>
    <w:p w:rsidR="006E01B4" w:rsidRPr="00740E60" w:rsidRDefault="009257B6" w:rsidP="00740E60">
      <w:pPr>
        <w:spacing w:line="360" w:lineRule="auto"/>
        <w:rPr>
          <w:rFonts w:ascii="Garamond" w:hAnsi="Garamond"/>
          <w:sz w:val="24"/>
          <w:szCs w:val="24"/>
          <w:lang w:val="es-PE"/>
        </w:rPr>
      </w:pPr>
      <w:r w:rsidRPr="00740E60">
        <w:rPr>
          <w:rFonts w:ascii="Garamond" w:hAnsi="Garamond"/>
          <w:sz w:val="24"/>
          <w:szCs w:val="24"/>
          <w:lang w:val="es-PE"/>
        </w:rPr>
        <w:t xml:space="preserve">El dictado del laudo es así, la forma en que los árbitros dan cumplimiento a su cometido principal. El procedimiento que previamente han seguido y las resoluciones intermedias que van impulsándolo, no son sino actos a través de los cuales se va preparando el acto decisorio, objetivo final del arbitraje cuando se conviene someter ciertas disputas </w:t>
      </w:r>
      <w:r w:rsidR="006E01B4" w:rsidRPr="00740E60">
        <w:rPr>
          <w:rFonts w:ascii="Garamond" w:hAnsi="Garamond"/>
          <w:sz w:val="24"/>
          <w:szCs w:val="24"/>
          <w:lang w:val="es-PE"/>
        </w:rPr>
        <w:t>a arbitraje, lo que se pretende es que los árbitros las resuelvan definitivamente. Lo demás es solamente el camino que lógicamente debe recorrerse para arribar a esa decisión.</w:t>
      </w:r>
    </w:p>
    <w:p w:rsidR="006E01B4" w:rsidRPr="00740E60" w:rsidRDefault="006E01B4" w:rsidP="00740E60">
      <w:pPr>
        <w:spacing w:line="360" w:lineRule="auto"/>
        <w:rPr>
          <w:rFonts w:ascii="Garamond" w:hAnsi="Garamond"/>
          <w:sz w:val="24"/>
          <w:szCs w:val="24"/>
          <w:lang w:val="es-PE"/>
        </w:rPr>
      </w:pPr>
    </w:p>
    <w:p w:rsidR="00F10A0F" w:rsidRPr="00740E60" w:rsidRDefault="006E01B4" w:rsidP="00740E60">
      <w:pPr>
        <w:spacing w:line="360" w:lineRule="auto"/>
        <w:rPr>
          <w:rFonts w:ascii="Garamond" w:hAnsi="Garamond"/>
          <w:sz w:val="24"/>
          <w:szCs w:val="24"/>
          <w:lang w:val="es-PE"/>
        </w:rPr>
      </w:pPr>
      <w:r w:rsidRPr="00740E60">
        <w:rPr>
          <w:rFonts w:ascii="Garamond" w:hAnsi="Garamond"/>
          <w:sz w:val="24"/>
          <w:szCs w:val="24"/>
          <w:lang w:val="es-PE"/>
        </w:rPr>
        <w:t xml:space="preserve">El laudo </w:t>
      </w:r>
      <w:r w:rsidR="00AF097D" w:rsidRPr="00740E60">
        <w:rPr>
          <w:rFonts w:ascii="Garamond" w:hAnsi="Garamond"/>
          <w:sz w:val="24"/>
          <w:szCs w:val="24"/>
          <w:lang w:val="es-PE"/>
        </w:rPr>
        <w:t xml:space="preserve">es, desde otro ángulo, el acto con el concluye la intervención </w:t>
      </w:r>
      <w:r w:rsidR="00F10A0F" w:rsidRPr="00740E60">
        <w:rPr>
          <w:rFonts w:ascii="Garamond" w:hAnsi="Garamond"/>
          <w:sz w:val="24"/>
          <w:szCs w:val="24"/>
          <w:lang w:val="es-PE"/>
        </w:rPr>
        <w:t>de los árbitros. Su emisión implica dejar agotado su cometido y su jurisdicción, lo que determina otra diferencia importante entre las atribuciones de árbitros y jueces.</w:t>
      </w:r>
    </w:p>
    <w:p w:rsidR="00F10A0F" w:rsidRPr="00740E60" w:rsidRDefault="00F10A0F" w:rsidP="00740E60">
      <w:pPr>
        <w:spacing w:line="360" w:lineRule="auto"/>
        <w:rPr>
          <w:rFonts w:ascii="Garamond" w:hAnsi="Garamond"/>
          <w:sz w:val="24"/>
          <w:szCs w:val="24"/>
          <w:lang w:val="es-PE"/>
        </w:rPr>
      </w:pPr>
    </w:p>
    <w:p w:rsidR="0056603E" w:rsidRPr="00740E60" w:rsidRDefault="00521D0D" w:rsidP="00740E60">
      <w:pPr>
        <w:spacing w:line="360" w:lineRule="auto"/>
        <w:rPr>
          <w:rFonts w:ascii="Garamond" w:hAnsi="Garamond"/>
          <w:sz w:val="24"/>
          <w:szCs w:val="24"/>
          <w:lang w:val="es-PE"/>
        </w:rPr>
      </w:pPr>
      <w:r w:rsidRPr="00740E60">
        <w:rPr>
          <w:rFonts w:ascii="Garamond" w:hAnsi="Garamond"/>
          <w:sz w:val="24"/>
          <w:szCs w:val="24"/>
          <w:lang w:val="es-PE"/>
        </w:rPr>
        <w:t xml:space="preserve">Veamos una comparación. Los jueces estatales están revestidos de una jurisdicción que por provenir de la organización misma del Estado, tiene carácter permanente y </w:t>
      </w:r>
      <w:r w:rsidR="00E62C81" w:rsidRPr="00740E60">
        <w:rPr>
          <w:rFonts w:ascii="Garamond" w:hAnsi="Garamond"/>
          <w:sz w:val="24"/>
          <w:szCs w:val="24"/>
          <w:lang w:val="es-PE"/>
        </w:rPr>
        <w:t>genérico</w:t>
      </w:r>
      <w:r w:rsidRPr="00740E60">
        <w:rPr>
          <w:rFonts w:ascii="Garamond" w:hAnsi="Garamond"/>
          <w:sz w:val="24"/>
          <w:szCs w:val="24"/>
          <w:lang w:val="es-PE"/>
        </w:rPr>
        <w:t xml:space="preserve">, si bien acotada por las limitaciones derivadas de su competencia territorial y funcional, y no se agota con el dictado de la sentencia definitiva. El juez conserva su potestad para ejecutarla, y aun para ejercer facultades </w:t>
      </w:r>
      <w:proofErr w:type="spellStart"/>
      <w:r w:rsidRPr="00740E60">
        <w:rPr>
          <w:rFonts w:ascii="Garamond" w:hAnsi="Garamond"/>
          <w:sz w:val="24"/>
          <w:szCs w:val="24"/>
          <w:lang w:val="es-PE"/>
        </w:rPr>
        <w:t>ordenatorias</w:t>
      </w:r>
      <w:proofErr w:type="spellEnd"/>
      <w:r w:rsidRPr="00740E60">
        <w:rPr>
          <w:rFonts w:ascii="Garamond" w:hAnsi="Garamond"/>
          <w:sz w:val="24"/>
          <w:szCs w:val="24"/>
          <w:lang w:val="es-PE"/>
        </w:rPr>
        <w:t xml:space="preserve"> y correctivas, con el límite que impone, por razones de seguridad jurídica, el principio de la cosa juzgada. </w:t>
      </w:r>
    </w:p>
    <w:p w:rsidR="003F743F" w:rsidRPr="00740E60" w:rsidRDefault="003F743F" w:rsidP="00740E60">
      <w:pPr>
        <w:spacing w:line="360" w:lineRule="auto"/>
        <w:rPr>
          <w:rFonts w:ascii="Garamond" w:hAnsi="Garamond"/>
          <w:sz w:val="24"/>
          <w:szCs w:val="24"/>
          <w:lang w:val="es-PE"/>
        </w:rPr>
      </w:pPr>
    </w:p>
    <w:p w:rsidR="00521D0D" w:rsidRPr="00740E60" w:rsidRDefault="00521D0D" w:rsidP="00740E60">
      <w:pPr>
        <w:spacing w:line="360" w:lineRule="auto"/>
        <w:rPr>
          <w:rFonts w:ascii="Garamond" w:hAnsi="Garamond"/>
          <w:sz w:val="24"/>
          <w:szCs w:val="24"/>
          <w:lang w:val="es-PE"/>
        </w:rPr>
      </w:pPr>
      <w:r w:rsidRPr="00740E60">
        <w:rPr>
          <w:rFonts w:ascii="Garamond" w:hAnsi="Garamond"/>
          <w:sz w:val="24"/>
          <w:szCs w:val="24"/>
          <w:lang w:val="es-PE"/>
        </w:rPr>
        <w:t xml:space="preserve">Por el contrario, los árbitros, tienen una jurisdicción nacida de fuente convencional y por lo tanto limitada al caso. Son las mismas partes en virtud de que el Estado lo admite con carácter general, quienes crean la instancia </w:t>
      </w:r>
      <w:r w:rsidR="00585B47" w:rsidRPr="00740E60">
        <w:rPr>
          <w:rFonts w:ascii="Garamond" w:hAnsi="Garamond"/>
          <w:sz w:val="24"/>
          <w:szCs w:val="24"/>
          <w:lang w:val="es-PE"/>
        </w:rPr>
        <w:t>específica</w:t>
      </w:r>
      <w:r w:rsidRPr="00740E60">
        <w:rPr>
          <w:rFonts w:ascii="Garamond" w:hAnsi="Garamond"/>
          <w:sz w:val="24"/>
          <w:szCs w:val="24"/>
          <w:lang w:val="es-PE"/>
        </w:rPr>
        <w:t xml:space="preserve"> y otorgan a los árbitros el carácter </w:t>
      </w:r>
      <w:r w:rsidR="00A6068C" w:rsidRPr="00740E60">
        <w:rPr>
          <w:rFonts w:ascii="Garamond" w:hAnsi="Garamond"/>
          <w:sz w:val="24"/>
          <w:szCs w:val="24"/>
          <w:lang w:val="es-PE"/>
        </w:rPr>
        <w:t xml:space="preserve">de jueces. </w:t>
      </w:r>
      <w:r w:rsidR="00585B47" w:rsidRPr="00740E60">
        <w:rPr>
          <w:rFonts w:ascii="Garamond" w:hAnsi="Garamond"/>
          <w:sz w:val="24"/>
          <w:szCs w:val="24"/>
          <w:lang w:val="es-PE"/>
        </w:rPr>
        <w:t>Y al hacerlo, tienen un objetivo primordial: encomendarles la resolución de un caso concreto. Se deriva de ello, que una vez producido el resultado previsto, desaparecen sus facultades.</w:t>
      </w:r>
    </w:p>
    <w:p w:rsidR="00D60C96" w:rsidRPr="00740E60" w:rsidRDefault="00D60C96" w:rsidP="00740E60">
      <w:pPr>
        <w:spacing w:line="360" w:lineRule="auto"/>
        <w:rPr>
          <w:rFonts w:ascii="Garamond" w:hAnsi="Garamond"/>
          <w:sz w:val="24"/>
          <w:szCs w:val="24"/>
          <w:lang w:val="es-PE"/>
        </w:rPr>
      </w:pPr>
    </w:p>
    <w:p w:rsidR="00D60C96" w:rsidRPr="00740E60" w:rsidRDefault="00D60C96" w:rsidP="00740E60">
      <w:pPr>
        <w:spacing w:line="360" w:lineRule="auto"/>
        <w:rPr>
          <w:rFonts w:ascii="Garamond" w:hAnsi="Garamond"/>
          <w:sz w:val="24"/>
          <w:szCs w:val="24"/>
          <w:lang w:val="es-PE"/>
        </w:rPr>
      </w:pPr>
      <w:r w:rsidRPr="00740E60">
        <w:rPr>
          <w:rFonts w:ascii="Garamond" w:hAnsi="Garamond"/>
          <w:sz w:val="24"/>
          <w:szCs w:val="24"/>
          <w:lang w:val="es-PE"/>
        </w:rPr>
        <w:lastRenderedPageBreak/>
        <w:t>Con las aclaraciones precedentes, el laudo es el equivalente a la sentencia judicial. Es considerado una sentencia, una resolución que los árbitros expiden como consecuencia del ejercicio de la autoridad o poder de juzgar que las partes les dieron. Esta asimilación es la resultante de atribuir naturaleza jurisdiccional al arbitraje.</w:t>
      </w:r>
      <w:r w:rsidRPr="00740E60">
        <w:rPr>
          <w:rStyle w:val="Refdenotaalpie"/>
          <w:rFonts w:ascii="Garamond" w:hAnsi="Garamond"/>
          <w:sz w:val="24"/>
          <w:szCs w:val="24"/>
          <w:lang w:val="es-PE"/>
        </w:rPr>
        <w:footnoteReference w:id="16"/>
      </w:r>
    </w:p>
    <w:p w:rsidR="009F1F52" w:rsidRPr="00740E60" w:rsidRDefault="009F1F52" w:rsidP="00740E60">
      <w:pPr>
        <w:spacing w:line="360" w:lineRule="auto"/>
        <w:rPr>
          <w:rFonts w:ascii="Garamond" w:hAnsi="Garamond"/>
          <w:sz w:val="24"/>
          <w:szCs w:val="24"/>
          <w:lang w:val="es-PE"/>
        </w:rPr>
      </w:pPr>
    </w:p>
    <w:p w:rsidR="001B2ED1" w:rsidRPr="00740E60" w:rsidRDefault="009F1F52" w:rsidP="00740E60">
      <w:pPr>
        <w:spacing w:line="360" w:lineRule="auto"/>
        <w:rPr>
          <w:rFonts w:ascii="Garamond" w:hAnsi="Garamond"/>
          <w:sz w:val="24"/>
          <w:szCs w:val="24"/>
          <w:lang w:val="es-PE"/>
        </w:rPr>
      </w:pPr>
      <w:r w:rsidRPr="00740E60">
        <w:rPr>
          <w:rFonts w:ascii="Garamond" w:hAnsi="Garamond"/>
          <w:sz w:val="24"/>
          <w:szCs w:val="24"/>
          <w:lang w:val="es-PE"/>
        </w:rPr>
        <w:t xml:space="preserve">Comentando el </w:t>
      </w:r>
      <w:r w:rsidR="000D2AE1" w:rsidRPr="00740E60">
        <w:rPr>
          <w:rFonts w:ascii="Garamond" w:hAnsi="Garamond"/>
          <w:sz w:val="24"/>
          <w:szCs w:val="24"/>
          <w:lang w:val="es-PE"/>
        </w:rPr>
        <w:t>artículo</w:t>
      </w:r>
      <w:r w:rsidRPr="00740E60">
        <w:rPr>
          <w:rFonts w:ascii="Garamond" w:hAnsi="Garamond"/>
          <w:sz w:val="24"/>
          <w:szCs w:val="24"/>
          <w:lang w:val="es-PE"/>
        </w:rPr>
        <w:t xml:space="preserve"> 52° de la Ley Peruana de Arbitraje, encontramos </w:t>
      </w:r>
      <w:r w:rsidR="00794513" w:rsidRPr="00740E60">
        <w:rPr>
          <w:rFonts w:ascii="Garamond" w:hAnsi="Garamond"/>
          <w:sz w:val="24"/>
          <w:szCs w:val="24"/>
          <w:lang w:val="es-PE"/>
        </w:rPr>
        <w:t xml:space="preserve">1.- </w:t>
      </w:r>
      <w:r w:rsidRPr="00740E60">
        <w:rPr>
          <w:rFonts w:ascii="Garamond" w:hAnsi="Garamond"/>
          <w:sz w:val="24"/>
          <w:szCs w:val="24"/>
          <w:lang w:val="es-PE"/>
        </w:rPr>
        <w:t xml:space="preserve">la </w:t>
      </w:r>
      <w:r w:rsidR="00794513" w:rsidRPr="00740E60">
        <w:rPr>
          <w:rFonts w:ascii="Garamond" w:hAnsi="Garamond"/>
          <w:sz w:val="24"/>
          <w:szCs w:val="24"/>
          <w:lang w:val="es-PE"/>
        </w:rPr>
        <w:t>a</w:t>
      </w:r>
      <w:r w:rsidRPr="00740E60">
        <w:rPr>
          <w:rFonts w:ascii="Garamond" w:hAnsi="Garamond"/>
          <w:sz w:val="24"/>
          <w:szCs w:val="24"/>
          <w:lang w:val="es-PE"/>
        </w:rPr>
        <w:t xml:space="preserve">dopción de decisiones: el cual </w:t>
      </w:r>
      <w:r w:rsidR="000D2AE1" w:rsidRPr="00740E60">
        <w:rPr>
          <w:rFonts w:ascii="Garamond" w:hAnsi="Garamond"/>
          <w:sz w:val="24"/>
          <w:szCs w:val="24"/>
          <w:lang w:val="es-PE"/>
        </w:rPr>
        <w:t xml:space="preserve">nos </w:t>
      </w:r>
      <w:r w:rsidRPr="00740E60">
        <w:rPr>
          <w:rFonts w:ascii="Garamond" w:hAnsi="Garamond"/>
          <w:sz w:val="24"/>
          <w:szCs w:val="24"/>
          <w:lang w:val="es-PE"/>
        </w:rPr>
        <w:t>ilustra que el Tribunal arbitral funciona con la concurrencia de la mayoría de los árbitros. Toda decisión se adoptará por mayoría, salvo que las partes hubiesen dispuesto algo distinto. Si no hubiese mayoría, la decisión será tomada por el presidente.</w:t>
      </w:r>
      <w:r w:rsidR="00794513" w:rsidRPr="00740E60">
        <w:rPr>
          <w:rFonts w:ascii="Garamond" w:hAnsi="Garamond"/>
          <w:sz w:val="24"/>
          <w:szCs w:val="24"/>
          <w:lang w:val="es-PE"/>
        </w:rPr>
        <w:t xml:space="preserve"> 2.- los árbitros </w:t>
      </w:r>
      <w:r w:rsidR="00B4410A" w:rsidRPr="00740E60">
        <w:rPr>
          <w:rFonts w:ascii="Garamond" w:hAnsi="Garamond"/>
          <w:sz w:val="24"/>
          <w:szCs w:val="24"/>
          <w:lang w:val="es-PE"/>
        </w:rPr>
        <w:t>tienen la obligación de votar en todas las decisiones. Si no lo hacen, se considera que se adhieren  a la decisión en mayoría o a la del presidente, según corresponda.</w:t>
      </w:r>
      <w:r w:rsidR="00F8213F" w:rsidRPr="00740E60">
        <w:rPr>
          <w:rFonts w:ascii="Garamond" w:hAnsi="Garamond"/>
          <w:sz w:val="24"/>
          <w:szCs w:val="24"/>
          <w:lang w:val="es-PE"/>
        </w:rPr>
        <w:t xml:space="preserve"> 3.- salvo acuerdo en contrario de las partes o de los árbitros, el presidente podrá decidir por sí solo cuestiones de ordenación, tramitación e impulso de las actuaciones arbitrales.</w:t>
      </w:r>
    </w:p>
    <w:p w:rsidR="001B2ED1" w:rsidRPr="00740E60" w:rsidRDefault="001B2ED1" w:rsidP="00740E60">
      <w:pPr>
        <w:spacing w:line="360" w:lineRule="auto"/>
        <w:rPr>
          <w:rFonts w:ascii="Garamond" w:hAnsi="Garamond"/>
          <w:sz w:val="24"/>
          <w:szCs w:val="24"/>
          <w:lang w:val="es-PE"/>
        </w:rPr>
      </w:pPr>
    </w:p>
    <w:p w:rsidR="001B2ED1" w:rsidRPr="00740E60" w:rsidRDefault="001B2ED1" w:rsidP="00740E60">
      <w:pPr>
        <w:spacing w:line="360" w:lineRule="auto"/>
        <w:rPr>
          <w:rFonts w:ascii="Garamond" w:hAnsi="Garamond"/>
          <w:sz w:val="24"/>
          <w:szCs w:val="24"/>
          <w:lang w:val="es-PE"/>
        </w:rPr>
      </w:pPr>
      <w:r w:rsidRPr="00740E60">
        <w:rPr>
          <w:rFonts w:ascii="Garamond" w:hAnsi="Garamond"/>
          <w:sz w:val="24"/>
          <w:szCs w:val="24"/>
          <w:lang w:val="es-PE"/>
        </w:rPr>
        <w:t>El principio del numeral 1 del artículo 52°, se refiere al funcionamiento del tribunal y la concurrencia de los árbitros a las actuaciones.</w:t>
      </w:r>
    </w:p>
    <w:p w:rsidR="001B2ED1" w:rsidRPr="00740E60" w:rsidRDefault="001B2ED1" w:rsidP="00740E60">
      <w:pPr>
        <w:spacing w:line="360" w:lineRule="auto"/>
        <w:rPr>
          <w:rFonts w:ascii="Garamond" w:hAnsi="Garamond"/>
          <w:sz w:val="24"/>
          <w:szCs w:val="24"/>
          <w:lang w:val="es-PE"/>
        </w:rPr>
      </w:pPr>
    </w:p>
    <w:p w:rsidR="009F1F52" w:rsidRPr="00740E60" w:rsidRDefault="001B2ED1" w:rsidP="00740E60">
      <w:pPr>
        <w:spacing w:line="360" w:lineRule="auto"/>
        <w:rPr>
          <w:rFonts w:ascii="Garamond" w:hAnsi="Garamond"/>
          <w:sz w:val="24"/>
          <w:szCs w:val="24"/>
          <w:lang w:val="es-PE"/>
        </w:rPr>
      </w:pPr>
      <w:r w:rsidRPr="00740E60">
        <w:rPr>
          <w:rFonts w:ascii="Garamond" w:hAnsi="Garamond"/>
          <w:sz w:val="24"/>
          <w:szCs w:val="24"/>
          <w:lang w:val="es-PE"/>
        </w:rPr>
        <w:t xml:space="preserve">Este numeral, instaura </w:t>
      </w:r>
      <w:r w:rsidR="00580CEA" w:rsidRPr="00740E60">
        <w:rPr>
          <w:rFonts w:ascii="Garamond" w:hAnsi="Garamond"/>
          <w:sz w:val="24"/>
          <w:szCs w:val="24"/>
          <w:lang w:val="es-PE"/>
        </w:rPr>
        <w:t xml:space="preserve">que el tribunal arbitral funciona con la concurrencia de la mayoría de los árbitros. La finalidad de la </w:t>
      </w:r>
      <w:proofErr w:type="spellStart"/>
      <w:r w:rsidR="00580CEA" w:rsidRPr="00740E60">
        <w:rPr>
          <w:rFonts w:ascii="Garamond" w:hAnsi="Garamond"/>
          <w:sz w:val="24"/>
          <w:szCs w:val="24"/>
          <w:lang w:val="es-PE"/>
        </w:rPr>
        <w:t>LA</w:t>
      </w:r>
      <w:proofErr w:type="spellEnd"/>
      <w:r w:rsidR="00580CEA" w:rsidRPr="00740E60">
        <w:rPr>
          <w:rFonts w:ascii="Garamond" w:hAnsi="Garamond"/>
          <w:sz w:val="24"/>
          <w:szCs w:val="24"/>
          <w:lang w:val="es-PE"/>
        </w:rPr>
        <w:t xml:space="preserve">, en este caso, es que el proceso no se interrumpa </w:t>
      </w:r>
      <w:r w:rsidR="00B54748" w:rsidRPr="00740E60">
        <w:rPr>
          <w:rFonts w:ascii="Garamond" w:hAnsi="Garamond"/>
          <w:sz w:val="24"/>
          <w:szCs w:val="24"/>
          <w:lang w:val="es-PE"/>
        </w:rPr>
        <w:t xml:space="preserve">debido a la inconcurrencia de un árbitro.  </w:t>
      </w:r>
      <w:r w:rsidR="00443721" w:rsidRPr="00740E60">
        <w:rPr>
          <w:rFonts w:ascii="Garamond" w:hAnsi="Garamond"/>
          <w:sz w:val="24"/>
          <w:szCs w:val="24"/>
          <w:lang w:val="es-PE"/>
        </w:rPr>
        <w:t>En ese supuesto, tratándose de un tribunal arbitral compuesto de tres árbitros, si dos árbitros asisten, hacen mayoría y no habría inconveniente para que el proceso continúe</w:t>
      </w:r>
      <w:r w:rsidR="00F85D44" w:rsidRPr="00740E60">
        <w:rPr>
          <w:rFonts w:ascii="Garamond" w:hAnsi="Garamond"/>
          <w:sz w:val="24"/>
          <w:szCs w:val="24"/>
          <w:lang w:val="es-PE"/>
        </w:rPr>
        <w:t xml:space="preserve"> en ese sentido, el tribunal puede deliberar con la concurrencia de la mayoría de los árbitros.</w:t>
      </w:r>
      <w:r w:rsidR="0076645A" w:rsidRPr="00740E60">
        <w:rPr>
          <w:rStyle w:val="Refdenotaalpie"/>
          <w:rFonts w:ascii="Garamond" w:hAnsi="Garamond"/>
          <w:sz w:val="24"/>
          <w:szCs w:val="24"/>
          <w:lang w:val="es-PE"/>
        </w:rPr>
        <w:footnoteReference w:id="17"/>
      </w:r>
    </w:p>
    <w:p w:rsidR="00FB11C6" w:rsidRDefault="00FB11C6" w:rsidP="00740E60">
      <w:pPr>
        <w:spacing w:line="360" w:lineRule="auto"/>
        <w:rPr>
          <w:rFonts w:ascii="Garamond" w:hAnsi="Garamond"/>
          <w:sz w:val="24"/>
          <w:szCs w:val="24"/>
          <w:u w:val="single"/>
          <w:lang w:val="es-PE"/>
        </w:rPr>
      </w:pPr>
    </w:p>
    <w:p w:rsidR="009D70E6" w:rsidRPr="00740E60" w:rsidRDefault="00147BBB" w:rsidP="00E62C81">
      <w:pPr>
        <w:tabs>
          <w:tab w:val="left" w:pos="567"/>
        </w:tabs>
        <w:spacing w:line="360" w:lineRule="auto"/>
        <w:rPr>
          <w:rFonts w:ascii="Garamond" w:hAnsi="Garamond"/>
          <w:b/>
          <w:sz w:val="24"/>
          <w:szCs w:val="24"/>
          <w:u w:val="single"/>
          <w:lang w:val="es-PE"/>
        </w:rPr>
      </w:pPr>
      <w:r w:rsidRPr="00E62C81">
        <w:rPr>
          <w:rFonts w:ascii="Garamond" w:hAnsi="Garamond"/>
          <w:b/>
          <w:sz w:val="24"/>
          <w:szCs w:val="24"/>
          <w:lang w:val="es-PE"/>
        </w:rPr>
        <w:t xml:space="preserve">8.- </w:t>
      </w:r>
      <w:r w:rsidR="00E62C81" w:rsidRPr="00E62C81">
        <w:rPr>
          <w:rFonts w:ascii="Garamond" w:hAnsi="Garamond"/>
          <w:b/>
          <w:sz w:val="24"/>
          <w:szCs w:val="24"/>
          <w:lang w:val="es-PE"/>
        </w:rPr>
        <w:tab/>
      </w:r>
      <w:r w:rsidRPr="00740E60">
        <w:rPr>
          <w:rFonts w:ascii="Garamond" w:hAnsi="Garamond"/>
          <w:b/>
          <w:sz w:val="24"/>
          <w:szCs w:val="24"/>
          <w:u w:val="single"/>
          <w:lang w:val="es-PE"/>
        </w:rPr>
        <w:t xml:space="preserve">LA ANULACIÓN DEL LAUDO.- </w:t>
      </w:r>
    </w:p>
    <w:p w:rsidR="00FB11C6" w:rsidRDefault="00FB11C6" w:rsidP="00740E60">
      <w:pPr>
        <w:spacing w:line="360" w:lineRule="auto"/>
        <w:rPr>
          <w:rFonts w:ascii="Garamond" w:hAnsi="Garamond"/>
          <w:sz w:val="24"/>
          <w:szCs w:val="24"/>
          <w:lang w:val="es-PE"/>
        </w:rPr>
      </w:pPr>
    </w:p>
    <w:p w:rsidR="00F14F5F" w:rsidRPr="00740E60" w:rsidRDefault="009F693C" w:rsidP="00740E60">
      <w:pPr>
        <w:spacing w:line="360" w:lineRule="auto"/>
        <w:rPr>
          <w:rFonts w:ascii="Garamond" w:hAnsi="Garamond"/>
          <w:sz w:val="24"/>
          <w:szCs w:val="24"/>
          <w:lang w:val="es-PE"/>
        </w:rPr>
      </w:pPr>
      <w:r w:rsidRPr="00740E60">
        <w:rPr>
          <w:rFonts w:ascii="Garamond" w:hAnsi="Garamond"/>
          <w:sz w:val="24"/>
          <w:szCs w:val="24"/>
          <w:lang w:val="es-PE"/>
        </w:rPr>
        <w:t xml:space="preserve">Como requisito para interponer recurso de anulación contra el laudo, </w:t>
      </w:r>
      <w:r w:rsidR="00B71EDA" w:rsidRPr="00740E60">
        <w:rPr>
          <w:rFonts w:ascii="Garamond" w:hAnsi="Garamond"/>
          <w:sz w:val="24"/>
          <w:szCs w:val="24"/>
          <w:lang w:val="es-PE"/>
        </w:rPr>
        <w:t xml:space="preserve">podrá establecerse en el convenio arbitral que la parte impugnante deberá acreditar la constitución de carta fianza a favor de la parte vencedora y por la cantidad que el laudo determine para a la parte vencida. Cuando se interponga recurso de anulación contra el laudo, la parte impugnante deberá </w:t>
      </w:r>
      <w:r w:rsidR="00B71EDA" w:rsidRPr="00740E60">
        <w:rPr>
          <w:rFonts w:ascii="Garamond" w:hAnsi="Garamond"/>
          <w:sz w:val="24"/>
          <w:szCs w:val="24"/>
          <w:lang w:val="es-PE"/>
        </w:rPr>
        <w:lastRenderedPageBreak/>
        <w:t xml:space="preserve">cumplir con comunicar y acreditar ante el árbitro único o el tribunal arbitral </w:t>
      </w:r>
      <w:r w:rsidR="006A54D2" w:rsidRPr="00740E60">
        <w:rPr>
          <w:rFonts w:ascii="Garamond" w:hAnsi="Garamond"/>
          <w:sz w:val="24"/>
          <w:szCs w:val="24"/>
          <w:lang w:val="es-PE"/>
        </w:rPr>
        <w:t>la interposición de este recurso dentro de los cinco días hábiles siguientes de vencido el plazo  correspondiente; en caso contrario se entenderá que el laudo ha quedado consentido en sede arbitral.</w:t>
      </w:r>
    </w:p>
    <w:p w:rsidR="008A1EC8" w:rsidRPr="00740E60" w:rsidRDefault="008A1EC8" w:rsidP="00740E60">
      <w:pPr>
        <w:spacing w:line="360" w:lineRule="auto"/>
        <w:rPr>
          <w:rFonts w:ascii="Garamond" w:hAnsi="Garamond"/>
          <w:sz w:val="24"/>
          <w:szCs w:val="24"/>
          <w:lang w:val="es-PE"/>
        </w:rPr>
      </w:pPr>
    </w:p>
    <w:p w:rsidR="00147BBB" w:rsidRPr="00740E60" w:rsidRDefault="00F14F5F" w:rsidP="00740E60">
      <w:pPr>
        <w:spacing w:line="360" w:lineRule="auto"/>
        <w:rPr>
          <w:rFonts w:ascii="Garamond" w:hAnsi="Garamond"/>
          <w:sz w:val="24"/>
          <w:szCs w:val="24"/>
          <w:lang w:val="es-PE"/>
        </w:rPr>
      </w:pPr>
      <w:r w:rsidRPr="00740E60">
        <w:rPr>
          <w:rFonts w:ascii="Garamond" w:hAnsi="Garamond"/>
          <w:sz w:val="24"/>
          <w:szCs w:val="24"/>
          <w:lang w:val="es-PE"/>
        </w:rPr>
        <w:t>Asimismo, las sentencias que resuelvan de manera definitiva el recurso de anulación, deberán ser remitidas al OSCE por la parte interesada en el plazo de diez días hábiles de notificadas para su registro y publicación. Los representantes de las partes deberán cumplir con dicha obligación bajo responsabilidad.</w:t>
      </w:r>
    </w:p>
    <w:p w:rsidR="008A1EC8" w:rsidRPr="00740E60" w:rsidRDefault="008A1EC8" w:rsidP="00740E60">
      <w:pPr>
        <w:spacing w:line="360" w:lineRule="auto"/>
        <w:rPr>
          <w:rFonts w:ascii="Garamond" w:hAnsi="Garamond"/>
          <w:sz w:val="24"/>
          <w:szCs w:val="24"/>
          <w:lang w:val="es-PE"/>
        </w:rPr>
      </w:pPr>
    </w:p>
    <w:p w:rsidR="00086C84" w:rsidRPr="00740E60" w:rsidRDefault="008A1EC8" w:rsidP="00740E60">
      <w:pPr>
        <w:spacing w:line="360" w:lineRule="auto"/>
        <w:rPr>
          <w:rFonts w:ascii="Garamond" w:hAnsi="Garamond"/>
          <w:sz w:val="24"/>
          <w:szCs w:val="24"/>
          <w:lang w:val="es-PE"/>
        </w:rPr>
      </w:pPr>
      <w:r w:rsidRPr="00740E60">
        <w:rPr>
          <w:rFonts w:ascii="Garamond" w:hAnsi="Garamond"/>
          <w:sz w:val="24"/>
          <w:szCs w:val="24"/>
          <w:lang w:val="es-PE"/>
        </w:rPr>
        <w:t xml:space="preserve">Al precisar esta norma </w:t>
      </w:r>
      <w:r w:rsidR="009A5BCC" w:rsidRPr="00740E60">
        <w:rPr>
          <w:rFonts w:ascii="Garamond" w:hAnsi="Garamond"/>
          <w:sz w:val="24"/>
          <w:szCs w:val="24"/>
          <w:lang w:val="es-PE"/>
        </w:rPr>
        <w:t>que contra el laudo únicamente puede plantearse el recurso de anulación, está descartando expresamente el recurso de apelación que contemplaba los artículos 60°, 62°, 63° y siguientes de la Ley N</w:t>
      </w:r>
      <w:r w:rsidR="00836FB3" w:rsidRPr="00740E60">
        <w:rPr>
          <w:rFonts w:ascii="Garamond" w:hAnsi="Garamond"/>
          <w:sz w:val="24"/>
          <w:szCs w:val="24"/>
          <w:lang w:val="es-PE"/>
        </w:rPr>
        <w:t>° 26572 (LGA). En este aspecto como en muchos otros, la nueva Ley de Arbitraje (LA) sigue la Ley Modelo de la CNUDMI sobre Arbitraje Comercial Internacional, la cual en su artículo 34° se refiere “a la petición</w:t>
      </w:r>
      <w:r w:rsidR="00636C31" w:rsidRPr="00740E60">
        <w:rPr>
          <w:rFonts w:ascii="Garamond" w:hAnsi="Garamond"/>
          <w:sz w:val="24"/>
          <w:szCs w:val="24"/>
          <w:lang w:val="es-PE"/>
        </w:rPr>
        <w:t xml:space="preserve"> de nulidad como único recurso contra un laudo arbitral”.</w:t>
      </w:r>
    </w:p>
    <w:p w:rsidR="00086C84" w:rsidRPr="00740E60" w:rsidRDefault="00086C84" w:rsidP="00740E60">
      <w:pPr>
        <w:spacing w:line="360" w:lineRule="auto"/>
        <w:rPr>
          <w:rFonts w:ascii="Garamond" w:hAnsi="Garamond"/>
          <w:sz w:val="24"/>
          <w:szCs w:val="24"/>
          <w:lang w:val="es-PE"/>
        </w:rPr>
      </w:pPr>
    </w:p>
    <w:p w:rsidR="008A1EC8" w:rsidRPr="00740E60" w:rsidRDefault="00086C84" w:rsidP="00740E60">
      <w:pPr>
        <w:spacing w:line="360" w:lineRule="auto"/>
        <w:rPr>
          <w:rFonts w:ascii="Garamond" w:hAnsi="Garamond"/>
          <w:sz w:val="24"/>
          <w:szCs w:val="24"/>
          <w:lang w:val="es-PE"/>
        </w:rPr>
      </w:pPr>
      <w:r w:rsidRPr="00FB11C6">
        <w:rPr>
          <w:rFonts w:ascii="Garamond" w:hAnsi="Garamond"/>
          <w:b/>
          <w:sz w:val="24"/>
          <w:szCs w:val="24"/>
          <w:lang w:val="es-PE"/>
        </w:rPr>
        <w:t>COLLANTES GONZALES,  Jorge Luis</w:t>
      </w:r>
      <w:r w:rsidRPr="00740E60">
        <w:rPr>
          <w:rStyle w:val="Refdenotaalpie"/>
          <w:rFonts w:ascii="Garamond" w:hAnsi="Garamond"/>
          <w:sz w:val="24"/>
          <w:szCs w:val="24"/>
          <w:lang w:val="es-PE"/>
        </w:rPr>
        <w:footnoteReference w:id="18"/>
      </w:r>
      <w:r w:rsidR="00F57471" w:rsidRPr="00740E60">
        <w:rPr>
          <w:rFonts w:ascii="Garamond" w:hAnsi="Garamond"/>
          <w:sz w:val="24"/>
          <w:szCs w:val="24"/>
          <w:lang w:val="es-PE"/>
        </w:rPr>
        <w:t>explica</w:t>
      </w:r>
      <w:r w:rsidR="00B105AE" w:rsidRPr="00740E60">
        <w:rPr>
          <w:rFonts w:ascii="Garamond" w:hAnsi="Garamond"/>
          <w:sz w:val="24"/>
          <w:szCs w:val="24"/>
          <w:lang w:val="es-PE"/>
        </w:rPr>
        <w:t xml:space="preserve"> con </w:t>
      </w:r>
      <w:r w:rsidR="00505AAC" w:rsidRPr="00740E60">
        <w:rPr>
          <w:rFonts w:ascii="Garamond" w:hAnsi="Garamond"/>
          <w:sz w:val="24"/>
          <w:szCs w:val="24"/>
          <w:lang w:val="es-PE"/>
        </w:rPr>
        <w:t>sutileza</w:t>
      </w:r>
      <w:r w:rsidR="00B105AE" w:rsidRPr="00740E60">
        <w:rPr>
          <w:rFonts w:ascii="Garamond" w:hAnsi="Garamond"/>
          <w:sz w:val="24"/>
          <w:szCs w:val="24"/>
          <w:lang w:val="es-PE"/>
        </w:rPr>
        <w:t xml:space="preserve"> que es consustancial al arbitraje, la mínima intervención de los órganos jurisdiccionales por virtud y a favor de la autonomía de la voluntad de las partes, intervención mínima que tratándose de actuaciones de control, se resume en el de la legalidad del acuerdo de arbitraje, de la </w:t>
      </w:r>
      <w:proofErr w:type="spellStart"/>
      <w:r w:rsidR="00B105AE" w:rsidRPr="00740E60">
        <w:rPr>
          <w:rFonts w:ascii="Garamond" w:hAnsi="Garamond"/>
          <w:sz w:val="24"/>
          <w:szCs w:val="24"/>
          <w:lang w:val="es-PE"/>
        </w:rPr>
        <w:t>arbitrabilidad</w:t>
      </w:r>
      <w:proofErr w:type="spellEnd"/>
      <w:r w:rsidR="00B105AE" w:rsidRPr="00740E60">
        <w:rPr>
          <w:rFonts w:ascii="Garamond" w:hAnsi="Garamond"/>
          <w:sz w:val="24"/>
          <w:szCs w:val="24"/>
          <w:lang w:val="es-PE"/>
        </w:rPr>
        <w:t xml:space="preserve"> entendida en términos de disponibilidad como precisa la exposición de motivos de la Ley y de la regularidad del procedimiento de arbitraje.  </w:t>
      </w:r>
    </w:p>
    <w:p w:rsidR="006A70F8" w:rsidRPr="00740E60" w:rsidRDefault="006A70F8" w:rsidP="00740E60">
      <w:pPr>
        <w:spacing w:line="360" w:lineRule="auto"/>
        <w:rPr>
          <w:rFonts w:ascii="Garamond" w:hAnsi="Garamond"/>
          <w:sz w:val="24"/>
          <w:szCs w:val="24"/>
          <w:lang w:val="es-PE"/>
        </w:rPr>
      </w:pPr>
    </w:p>
    <w:p w:rsidR="006A4F25" w:rsidRPr="00740E60" w:rsidRDefault="00A753AE" w:rsidP="00E62C81">
      <w:pPr>
        <w:tabs>
          <w:tab w:val="left" w:pos="567"/>
        </w:tabs>
        <w:spacing w:line="360" w:lineRule="auto"/>
        <w:ind w:left="567" w:hanging="567"/>
        <w:rPr>
          <w:rFonts w:ascii="Garamond" w:hAnsi="Garamond"/>
          <w:b/>
          <w:sz w:val="24"/>
          <w:szCs w:val="24"/>
          <w:u w:val="single"/>
          <w:lang w:val="es-PE"/>
        </w:rPr>
      </w:pPr>
      <w:r w:rsidRPr="00E62C81">
        <w:rPr>
          <w:rFonts w:ascii="Garamond" w:hAnsi="Garamond"/>
          <w:b/>
          <w:sz w:val="24"/>
          <w:szCs w:val="24"/>
          <w:lang w:val="es-PE"/>
        </w:rPr>
        <w:t xml:space="preserve">9.- </w:t>
      </w:r>
      <w:r w:rsidR="00E62C81" w:rsidRPr="00E62C81">
        <w:rPr>
          <w:rFonts w:ascii="Garamond" w:hAnsi="Garamond"/>
          <w:b/>
          <w:sz w:val="24"/>
          <w:szCs w:val="24"/>
          <w:lang w:val="es-PE"/>
        </w:rPr>
        <w:tab/>
      </w:r>
      <w:r w:rsidR="005A5ED4" w:rsidRPr="00740E60">
        <w:rPr>
          <w:rFonts w:ascii="Garamond" w:hAnsi="Garamond"/>
          <w:b/>
          <w:sz w:val="24"/>
          <w:szCs w:val="24"/>
          <w:u w:val="single"/>
          <w:lang w:val="es-PE"/>
        </w:rPr>
        <w:t>LA DESCENTRALIZACIÓN DEL ARBITRAJE</w:t>
      </w:r>
      <w:r w:rsidR="005905C6" w:rsidRPr="00740E60">
        <w:rPr>
          <w:rFonts w:ascii="Garamond" w:hAnsi="Garamond"/>
          <w:b/>
          <w:sz w:val="24"/>
          <w:szCs w:val="24"/>
          <w:u w:val="single"/>
          <w:lang w:val="es-PE"/>
        </w:rPr>
        <w:t xml:space="preserve"> EN LAS REGIONES DEL PERÚ</w:t>
      </w:r>
      <w:r w:rsidRPr="00740E60">
        <w:rPr>
          <w:rFonts w:ascii="Garamond" w:hAnsi="Garamond"/>
          <w:b/>
          <w:sz w:val="24"/>
          <w:szCs w:val="24"/>
          <w:u w:val="single"/>
          <w:lang w:val="es-PE"/>
        </w:rPr>
        <w:t>.-</w:t>
      </w:r>
    </w:p>
    <w:p w:rsidR="009D70E6" w:rsidRPr="00740E60" w:rsidRDefault="009D70E6" w:rsidP="00740E60">
      <w:pPr>
        <w:spacing w:line="360" w:lineRule="auto"/>
        <w:rPr>
          <w:rFonts w:ascii="Garamond" w:hAnsi="Garamond"/>
          <w:b/>
          <w:sz w:val="24"/>
          <w:szCs w:val="24"/>
          <w:u w:val="single"/>
          <w:lang w:val="es-PE"/>
        </w:rPr>
      </w:pPr>
    </w:p>
    <w:p w:rsidR="00147BBB" w:rsidRPr="00740E60" w:rsidRDefault="00FB11C6" w:rsidP="00740E60">
      <w:pPr>
        <w:spacing w:line="360" w:lineRule="auto"/>
        <w:rPr>
          <w:rFonts w:ascii="Garamond" w:hAnsi="Garamond"/>
          <w:sz w:val="24"/>
          <w:szCs w:val="24"/>
          <w:lang w:val="es-PE"/>
        </w:rPr>
      </w:pPr>
      <w:r>
        <w:rPr>
          <w:rFonts w:ascii="Garamond" w:hAnsi="Garamond"/>
          <w:sz w:val="24"/>
          <w:szCs w:val="24"/>
          <w:lang w:val="es-PE"/>
        </w:rPr>
        <w:t>Como abogado,</w:t>
      </w:r>
      <w:r w:rsidR="000C1FC3" w:rsidRPr="00740E60">
        <w:rPr>
          <w:rFonts w:ascii="Garamond" w:hAnsi="Garamond"/>
          <w:sz w:val="24"/>
          <w:szCs w:val="24"/>
          <w:lang w:val="es-PE"/>
        </w:rPr>
        <w:t xml:space="preserve"> dedicado al Arbitraje en las Contrataciones Públicas, </w:t>
      </w:r>
      <w:r>
        <w:rPr>
          <w:rFonts w:ascii="Garamond" w:hAnsi="Garamond"/>
          <w:sz w:val="24"/>
          <w:szCs w:val="24"/>
          <w:lang w:val="es-PE"/>
        </w:rPr>
        <w:t xml:space="preserve">uno de mis anhelos </w:t>
      </w:r>
      <w:r w:rsidR="000C1FC3" w:rsidRPr="00740E60">
        <w:rPr>
          <w:rFonts w:ascii="Garamond" w:hAnsi="Garamond"/>
          <w:sz w:val="24"/>
          <w:szCs w:val="24"/>
          <w:lang w:val="es-PE"/>
        </w:rPr>
        <w:t xml:space="preserve">es </w:t>
      </w:r>
      <w:r>
        <w:rPr>
          <w:rFonts w:ascii="Garamond" w:hAnsi="Garamond"/>
          <w:sz w:val="24"/>
          <w:szCs w:val="24"/>
          <w:lang w:val="es-PE"/>
        </w:rPr>
        <w:t xml:space="preserve">precisamente </w:t>
      </w:r>
      <w:r w:rsidR="000C1FC3" w:rsidRPr="00740E60">
        <w:rPr>
          <w:rFonts w:ascii="Garamond" w:hAnsi="Garamond"/>
          <w:sz w:val="24"/>
          <w:szCs w:val="24"/>
          <w:lang w:val="es-PE"/>
        </w:rPr>
        <w:t xml:space="preserve">la descentralización de los procesos arbitrales, y ello, no es </w:t>
      </w:r>
      <w:r>
        <w:rPr>
          <w:rFonts w:ascii="Garamond" w:hAnsi="Garamond"/>
          <w:sz w:val="24"/>
          <w:szCs w:val="24"/>
          <w:lang w:val="es-PE"/>
        </w:rPr>
        <w:t>tan truculento</w:t>
      </w:r>
      <w:r w:rsidR="000C1FC3" w:rsidRPr="00740E60">
        <w:rPr>
          <w:rFonts w:ascii="Garamond" w:hAnsi="Garamond"/>
          <w:sz w:val="24"/>
          <w:szCs w:val="24"/>
          <w:lang w:val="es-PE"/>
        </w:rPr>
        <w:t xml:space="preserve">, sólo falta la decisión de </w:t>
      </w:r>
      <w:r w:rsidR="004E1FB2" w:rsidRPr="00740E60">
        <w:rPr>
          <w:rFonts w:ascii="Garamond" w:hAnsi="Garamond"/>
          <w:sz w:val="24"/>
          <w:szCs w:val="24"/>
          <w:lang w:val="es-PE"/>
        </w:rPr>
        <w:t xml:space="preserve">las Autoridades en permitir que el </w:t>
      </w:r>
      <w:r w:rsidR="000C1FC3" w:rsidRPr="00740E60">
        <w:rPr>
          <w:rFonts w:ascii="Garamond" w:hAnsi="Garamond"/>
          <w:sz w:val="24"/>
          <w:szCs w:val="24"/>
          <w:lang w:val="es-PE"/>
        </w:rPr>
        <w:t>arbitra</w:t>
      </w:r>
      <w:r w:rsidR="004E1FB2" w:rsidRPr="00740E60">
        <w:rPr>
          <w:rFonts w:ascii="Garamond" w:hAnsi="Garamond"/>
          <w:sz w:val="24"/>
          <w:szCs w:val="24"/>
          <w:lang w:val="es-PE"/>
        </w:rPr>
        <w:t>je</w:t>
      </w:r>
      <w:r w:rsidR="000C1FC3" w:rsidRPr="00740E60">
        <w:rPr>
          <w:rFonts w:ascii="Garamond" w:hAnsi="Garamond"/>
          <w:sz w:val="24"/>
          <w:szCs w:val="24"/>
          <w:lang w:val="es-PE"/>
        </w:rPr>
        <w:t xml:space="preserve">, se tramiten en las provincias, o en la sede de cada región dónde actualmente el Organismo Supervisor de las Contrataciones </w:t>
      </w:r>
      <w:r w:rsidR="000C1FC3" w:rsidRPr="00740E60">
        <w:rPr>
          <w:rFonts w:ascii="Garamond" w:hAnsi="Garamond"/>
          <w:sz w:val="24"/>
          <w:szCs w:val="24"/>
          <w:lang w:val="es-PE"/>
        </w:rPr>
        <w:lastRenderedPageBreak/>
        <w:t xml:space="preserve">del Estado- OSCE,  tiene sus oficinas desconcentradas, vale decir, que las partes no estén obligadas a recurrir a la capital (Lima), para instalar un Tribunal Arbitral, </w:t>
      </w:r>
      <w:r w:rsidR="004E1FB2" w:rsidRPr="00740E60">
        <w:rPr>
          <w:rFonts w:ascii="Garamond" w:hAnsi="Garamond"/>
          <w:sz w:val="24"/>
          <w:szCs w:val="24"/>
          <w:lang w:val="es-PE"/>
        </w:rPr>
        <w:t xml:space="preserve">solicitar la </w:t>
      </w:r>
      <w:r w:rsidR="000C1FC3" w:rsidRPr="00740E60">
        <w:rPr>
          <w:rFonts w:ascii="Garamond" w:hAnsi="Garamond"/>
          <w:sz w:val="24"/>
          <w:szCs w:val="24"/>
          <w:lang w:val="es-PE"/>
        </w:rPr>
        <w:t xml:space="preserve">designación de </w:t>
      </w:r>
      <w:r w:rsidR="004E1FB2" w:rsidRPr="00740E60">
        <w:rPr>
          <w:rFonts w:ascii="Garamond" w:hAnsi="Garamond"/>
          <w:sz w:val="24"/>
          <w:szCs w:val="24"/>
          <w:lang w:val="es-PE"/>
        </w:rPr>
        <w:t xml:space="preserve">un </w:t>
      </w:r>
      <w:r w:rsidR="000C1FC3" w:rsidRPr="00740E60">
        <w:rPr>
          <w:rFonts w:ascii="Garamond" w:hAnsi="Garamond"/>
          <w:sz w:val="24"/>
          <w:szCs w:val="24"/>
          <w:lang w:val="es-PE"/>
        </w:rPr>
        <w:t>Árbitro</w:t>
      </w:r>
      <w:r w:rsidR="004E1FB2" w:rsidRPr="00740E60">
        <w:rPr>
          <w:rFonts w:ascii="Garamond" w:hAnsi="Garamond"/>
          <w:sz w:val="24"/>
          <w:szCs w:val="24"/>
          <w:lang w:val="es-PE"/>
        </w:rPr>
        <w:t xml:space="preserve">, segundo árbitro o presidente de Tribunal Arbitral, </w:t>
      </w:r>
      <w:r w:rsidR="000C1FC3" w:rsidRPr="00740E60">
        <w:rPr>
          <w:rFonts w:ascii="Garamond" w:hAnsi="Garamond"/>
          <w:sz w:val="24"/>
          <w:szCs w:val="24"/>
          <w:lang w:val="es-PE"/>
        </w:rPr>
        <w:t xml:space="preserve">ante la falta de acuerdo de las partes, </w:t>
      </w:r>
      <w:r w:rsidR="004E1FB2" w:rsidRPr="00740E60">
        <w:rPr>
          <w:rFonts w:ascii="Garamond" w:hAnsi="Garamond"/>
          <w:sz w:val="24"/>
          <w:szCs w:val="24"/>
          <w:lang w:val="es-PE"/>
        </w:rPr>
        <w:t xml:space="preserve">o la </w:t>
      </w:r>
      <w:r w:rsidR="000C1FC3" w:rsidRPr="00740E60">
        <w:rPr>
          <w:rFonts w:ascii="Garamond" w:hAnsi="Garamond"/>
          <w:sz w:val="24"/>
          <w:szCs w:val="24"/>
          <w:lang w:val="es-PE"/>
        </w:rPr>
        <w:t xml:space="preserve">recusación de </w:t>
      </w:r>
      <w:r w:rsidR="004E1FB2" w:rsidRPr="00740E60">
        <w:rPr>
          <w:rFonts w:ascii="Garamond" w:hAnsi="Garamond"/>
          <w:sz w:val="24"/>
          <w:szCs w:val="24"/>
          <w:lang w:val="es-PE"/>
        </w:rPr>
        <w:t xml:space="preserve">un </w:t>
      </w:r>
      <w:r w:rsidR="000C1FC3" w:rsidRPr="00740E60">
        <w:rPr>
          <w:rFonts w:ascii="Garamond" w:hAnsi="Garamond"/>
          <w:sz w:val="24"/>
          <w:szCs w:val="24"/>
          <w:lang w:val="es-PE"/>
        </w:rPr>
        <w:t>árbitro o Tribunal Arbitral, la administración del proceso arbitral, sea este Ad Hoc o Institucional.</w:t>
      </w:r>
    </w:p>
    <w:p w:rsidR="004E1FB2" w:rsidRPr="00740E60" w:rsidRDefault="004E1FB2" w:rsidP="00740E60">
      <w:pPr>
        <w:spacing w:line="360" w:lineRule="auto"/>
        <w:rPr>
          <w:rFonts w:ascii="Garamond" w:hAnsi="Garamond"/>
          <w:sz w:val="24"/>
          <w:szCs w:val="24"/>
          <w:lang w:val="es-PE"/>
        </w:rPr>
      </w:pPr>
    </w:p>
    <w:p w:rsidR="000C1FC3" w:rsidRPr="00740E60" w:rsidRDefault="00FB11C6" w:rsidP="00740E60">
      <w:pPr>
        <w:spacing w:line="360" w:lineRule="auto"/>
        <w:rPr>
          <w:rFonts w:ascii="Garamond" w:hAnsi="Garamond"/>
          <w:sz w:val="24"/>
          <w:szCs w:val="24"/>
          <w:lang w:val="es-PE"/>
        </w:rPr>
      </w:pPr>
      <w:r>
        <w:rPr>
          <w:rFonts w:ascii="Garamond" w:hAnsi="Garamond"/>
          <w:sz w:val="24"/>
          <w:szCs w:val="24"/>
          <w:lang w:val="es-PE"/>
        </w:rPr>
        <w:t>P</w:t>
      </w:r>
      <w:r w:rsidR="000C1FC3" w:rsidRPr="00740E60">
        <w:rPr>
          <w:rFonts w:ascii="Garamond" w:hAnsi="Garamond"/>
          <w:sz w:val="24"/>
          <w:szCs w:val="24"/>
          <w:lang w:val="es-PE"/>
        </w:rPr>
        <w:t xml:space="preserve">or otro lado, el OSCE, debe extender sus fronteras de capacitación </w:t>
      </w:r>
      <w:r w:rsidR="005905C6" w:rsidRPr="00740E60">
        <w:rPr>
          <w:rFonts w:ascii="Garamond" w:hAnsi="Garamond"/>
          <w:sz w:val="24"/>
          <w:szCs w:val="24"/>
          <w:lang w:val="es-PE"/>
        </w:rPr>
        <w:t xml:space="preserve">para la formación de Árbitros </w:t>
      </w:r>
      <w:r w:rsidR="004E1FB2" w:rsidRPr="00740E60">
        <w:rPr>
          <w:rFonts w:ascii="Garamond" w:hAnsi="Garamond"/>
          <w:sz w:val="24"/>
          <w:szCs w:val="24"/>
          <w:lang w:val="es-PE"/>
        </w:rPr>
        <w:t xml:space="preserve">e incluirlos </w:t>
      </w:r>
      <w:r w:rsidR="005905C6" w:rsidRPr="00740E60">
        <w:rPr>
          <w:rFonts w:ascii="Garamond" w:hAnsi="Garamond"/>
          <w:sz w:val="24"/>
          <w:szCs w:val="24"/>
          <w:lang w:val="es-PE"/>
        </w:rPr>
        <w:t>en el registro de Árbitros del OSCE, y con ello, lograríamos que muchos procesos arbitrales sean resueltos oportunamente, si</w:t>
      </w:r>
      <w:r w:rsidR="004E1FB2" w:rsidRPr="00740E60">
        <w:rPr>
          <w:rFonts w:ascii="Garamond" w:hAnsi="Garamond"/>
          <w:sz w:val="24"/>
          <w:szCs w:val="24"/>
          <w:lang w:val="es-PE"/>
        </w:rPr>
        <w:t xml:space="preserve">n encarecer el proceso arbitral, permitiendo que los profesionales del derecho de provincias o de cada región participen activamente en la solución de conflictos derivados de los contratos que celebran de una parte el Estado y los Contratistas. </w:t>
      </w:r>
    </w:p>
    <w:p w:rsidR="004E1FB2" w:rsidRPr="00740E60" w:rsidRDefault="004E1FB2" w:rsidP="00740E60">
      <w:pPr>
        <w:spacing w:line="360" w:lineRule="auto"/>
        <w:rPr>
          <w:rFonts w:ascii="Garamond" w:hAnsi="Garamond"/>
          <w:sz w:val="24"/>
          <w:szCs w:val="24"/>
          <w:lang w:val="es-PE"/>
        </w:rPr>
      </w:pPr>
    </w:p>
    <w:p w:rsidR="004E1FB2" w:rsidRPr="00740E60" w:rsidRDefault="004E1FB2" w:rsidP="00740E60">
      <w:pPr>
        <w:spacing w:line="360" w:lineRule="auto"/>
        <w:rPr>
          <w:rFonts w:ascii="Garamond" w:hAnsi="Garamond"/>
          <w:sz w:val="24"/>
          <w:szCs w:val="24"/>
          <w:lang w:val="es-PE"/>
        </w:rPr>
      </w:pPr>
      <w:r w:rsidRPr="00740E60">
        <w:rPr>
          <w:rFonts w:ascii="Garamond" w:hAnsi="Garamond"/>
          <w:sz w:val="24"/>
          <w:szCs w:val="24"/>
          <w:lang w:val="es-PE"/>
        </w:rPr>
        <w:t xml:space="preserve">Es pertinente, tomar en cuenta las últimas cifras manejadas por la Dirección de Arbitraje Administrativo del OSCE, en la que se tiene que, el 76% de solicitudes de designación de Árbitro, son de provincias, y el 22% de Lima, así también, en arbitrajes Ad Hoc 52% son de provincia y 48 % de provincia, igual forma en </w:t>
      </w:r>
      <w:r w:rsidR="00FB68B7" w:rsidRPr="00740E60">
        <w:rPr>
          <w:rFonts w:ascii="Garamond" w:hAnsi="Garamond"/>
          <w:sz w:val="24"/>
          <w:szCs w:val="24"/>
          <w:lang w:val="es-PE"/>
        </w:rPr>
        <w:t>arbitrajes institucionales (administrados por la Dirección de Arbitraje Administrativo del OSCE), el 61% son procesos arbitrales de provincias y el 39 % de Lima, y en general la cifra de procedimientos administrativos de Arbitraje es 58% de provincias y 42% d</w:t>
      </w:r>
      <w:r w:rsidR="009D70E6" w:rsidRPr="00740E60">
        <w:rPr>
          <w:rFonts w:ascii="Garamond" w:hAnsi="Garamond"/>
          <w:sz w:val="24"/>
          <w:szCs w:val="24"/>
          <w:lang w:val="es-PE"/>
        </w:rPr>
        <w:t>e Lima, por tanto, es justo y necesario que el OSCE, permita que se incluya en el registro de Árbitros a abogados de provincias y esto se logrará si solamente se permitiera la  capacitación y descentralización del Arbitraje en el Perú.</w:t>
      </w:r>
    </w:p>
    <w:p w:rsidR="006A70F8" w:rsidRDefault="006A70F8" w:rsidP="00740E60">
      <w:pPr>
        <w:spacing w:line="360" w:lineRule="auto"/>
        <w:rPr>
          <w:rFonts w:ascii="Garamond" w:hAnsi="Garamond"/>
          <w:b/>
          <w:sz w:val="24"/>
          <w:szCs w:val="24"/>
          <w:lang w:val="es-PE"/>
        </w:rPr>
      </w:pPr>
    </w:p>
    <w:p w:rsidR="005905C6" w:rsidRPr="00740E60" w:rsidRDefault="009D70E6" w:rsidP="00740E60">
      <w:pPr>
        <w:spacing w:line="360" w:lineRule="auto"/>
        <w:rPr>
          <w:rFonts w:ascii="Garamond" w:hAnsi="Garamond"/>
          <w:b/>
          <w:sz w:val="24"/>
          <w:szCs w:val="24"/>
          <w:u w:val="single"/>
          <w:lang w:val="es-PE"/>
        </w:rPr>
      </w:pPr>
      <w:r w:rsidRPr="00740E60">
        <w:rPr>
          <w:rFonts w:ascii="Garamond" w:hAnsi="Garamond"/>
          <w:b/>
          <w:sz w:val="24"/>
          <w:szCs w:val="24"/>
          <w:u w:val="single"/>
          <w:lang w:val="es-PE"/>
        </w:rPr>
        <w:t>CONCLUSIONES</w:t>
      </w:r>
      <w:r w:rsidRPr="00E62C81">
        <w:rPr>
          <w:rFonts w:ascii="Garamond" w:hAnsi="Garamond"/>
          <w:b/>
          <w:sz w:val="24"/>
          <w:szCs w:val="24"/>
          <w:lang w:val="es-PE"/>
        </w:rPr>
        <w:t xml:space="preserve">.- </w:t>
      </w:r>
    </w:p>
    <w:p w:rsidR="009D70E6" w:rsidRPr="00740E60" w:rsidRDefault="009D70E6" w:rsidP="00740E60">
      <w:pPr>
        <w:spacing w:line="360" w:lineRule="auto"/>
        <w:rPr>
          <w:rFonts w:ascii="Garamond" w:hAnsi="Garamond"/>
          <w:sz w:val="24"/>
          <w:szCs w:val="24"/>
          <w:u w:val="single"/>
          <w:lang w:val="es-PE"/>
        </w:rPr>
      </w:pPr>
    </w:p>
    <w:p w:rsidR="008013EB" w:rsidRDefault="009D70E6" w:rsidP="00E62C81">
      <w:pPr>
        <w:numPr>
          <w:ilvl w:val="0"/>
          <w:numId w:val="3"/>
        </w:numPr>
        <w:spacing w:line="360" w:lineRule="auto"/>
        <w:rPr>
          <w:rFonts w:ascii="Garamond" w:hAnsi="Garamond"/>
          <w:sz w:val="24"/>
          <w:szCs w:val="24"/>
          <w:lang w:val="es-PE"/>
        </w:rPr>
      </w:pPr>
      <w:r w:rsidRPr="00740E60">
        <w:rPr>
          <w:rFonts w:ascii="Garamond" w:hAnsi="Garamond"/>
          <w:sz w:val="24"/>
          <w:szCs w:val="24"/>
          <w:lang w:val="es-PE"/>
        </w:rPr>
        <w:t>El arbitraje es un medio idó</w:t>
      </w:r>
      <w:r w:rsidR="008013EB" w:rsidRPr="00740E60">
        <w:rPr>
          <w:rFonts w:ascii="Garamond" w:hAnsi="Garamond"/>
          <w:sz w:val="24"/>
          <w:szCs w:val="24"/>
          <w:lang w:val="es-PE"/>
        </w:rPr>
        <w:t>neo, y de mucha confianza en el medio de las Contrataciones Públicas, por cuanto las partes son las que eligen a los miembros que conformarán el Tribunal Arbitral, que resolverá</w:t>
      </w:r>
      <w:r w:rsidR="00740E60">
        <w:rPr>
          <w:rFonts w:ascii="Garamond" w:hAnsi="Garamond"/>
          <w:sz w:val="24"/>
          <w:szCs w:val="24"/>
          <w:lang w:val="es-PE"/>
        </w:rPr>
        <w:t xml:space="preserve"> (n)</w:t>
      </w:r>
      <w:r w:rsidR="008013EB" w:rsidRPr="00740E60">
        <w:rPr>
          <w:rFonts w:ascii="Garamond" w:hAnsi="Garamond"/>
          <w:sz w:val="24"/>
          <w:szCs w:val="24"/>
          <w:lang w:val="es-PE"/>
        </w:rPr>
        <w:t xml:space="preserve"> la controversia, y si no existiese acuerdo lo resuelve el Organismo Supervisor de las Contrataciones del Estado- OSCE, o la </w:t>
      </w:r>
      <w:r w:rsidR="00740E60" w:rsidRPr="00740E60">
        <w:rPr>
          <w:rFonts w:ascii="Garamond" w:hAnsi="Garamond"/>
          <w:sz w:val="24"/>
          <w:szCs w:val="24"/>
          <w:lang w:val="es-PE"/>
        </w:rPr>
        <w:t>Cámara</w:t>
      </w:r>
      <w:r w:rsidR="008013EB" w:rsidRPr="00740E60">
        <w:rPr>
          <w:rFonts w:ascii="Garamond" w:hAnsi="Garamond"/>
          <w:sz w:val="24"/>
          <w:szCs w:val="24"/>
          <w:lang w:val="es-PE"/>
        </w:rPr>
        <w:t xml:space="preserve"> de Comercio.</w:t>
      </w:r>
    </w:p>
    <w:p w:rsidR="00740E60" w:rsidRPr="00740E60" w:rsidRDefault="00740E60" w:rsidP="00740E60">
      <w:pPr>
        <w:spacing w:line="360" w:lineRule="auto"/>
        <w:rPr>
          <w:rFonts w:ascii="Garamond" w:hAnsi="Garamond"/>
          <w:sz w:val="24"/>
          <w:szCs w:val="24"/>
          <w:lang w:val="es-PE"/>
        </w:rPr>
      </w:pPr>
    </w:p>
    <w:p w:rsidR="00C92508" w:rsidRDefault="008013EB" w:rsidP="00E62C81">
      <w:pPr>
        <w:numPr>
          <w:ilvl w:val="0"/>
          <w:numId w:val="3"/>
        </w:numPr>
        <w:spacing w:line="360" w:lineRule="auto"/>
        <w:rPr>
          <w:rFonts w:ascii="Garamond" w:hAnsi="Garamond"/>
          <w:sz w:val="24"/>
          <w:szCs w:val="24"/>
          <w:lang w:val="es-PE"/>
        </w:rPr>
      </w:pPr>
      <w:r w:rsidRPr="00740E60">
        <w:rPr>
          <w:rFonts w:ascii="Garamond" w:hAnsi="Garamond"/>
          <w:sz w:val="24"/>
          <w:szCs w:val="24"/>
          <w:lang w:val="es-PE"/>
        </w:rPr>
        <w:lastRenderedPageBreak/>
        <w:t>El Tribunal Arbitral o Árbitro Único, tiene plena independencia y no está sometido a orden, disposición o autoridad que menoscabe sus atribuciones, por cuanto su actuar está amparado en lo establecido en el artículo 139º de la</w:t>
      </w:r>
      <w:r w:rsidR="00C92508">
        <w:rPr>
          <w:rFonts w:ascii="Garamond" w:hAnsi="Garamond"/>
          <w:sz w:val="24"/>
          <w:szCs w:val="24"/>
          <w:lang w:val="es-PE"/>
        </w:rPr>
        <w:t xml:space="preserve"> Constitución Política del Perú, en la Ley de Arbitraje, la Ley de Contrataciones Públicas y su Reglamento.</w:t>
      </w:r>
    </w:p>
    <w:p w:rsidR="00C92508" w:rsidRDefault="00C92508" w:rsidP="00740E60">
      <w:pPr>
        <w:spacing w:line="360" w:lineRule="auto"/>
        <w:rPr>
          <w:rFonts w:ascii="Garamond" w:hAnsi="Garamond"/>
          <w:sz w:val="24"/>
          <w:szCs w:val="24"/>
          <w:lang w:val="es-PE"/>
        </w:rPr>
      </w:pPr>
    </w:p>
    <w:p w:rsidR="00C92508" w:rsidRDefault="00C92508" w:rsidP="00E62C81">
      <w:pPr>
        <w:numPr>
          <w:ilvl w:val="0"/>
          <w:numId w:val="3"/>
        </w:numPr>
        <w:spacing w:line="360" w:lineRule="auto"/>
        <w:rPr>
          <w:rFonts w:ascii="Garamond" w:hAnsi="Garamond"/>
          <w:sz w:val="24"/>
          <w:szCs w:val="24"/>
          <w:lang w:val="es-PE"/>
        </w:rPr>
      </w:pPr>
      <w:r>
        <w:rPr>
          <w:rFonts w:ascii="Garamond" w:hAnsi="Garamond"/>
          <w:sz w:val="24"/>
          <w:szCs w:val="24"/>
          <w:lang w:val="es-PE"/>
        </w:rPr>
        <w:t xml:space="preserve">El Arbitraje en las Contrataciones Públicas, es un medio </w:t>
      </w:r>
      <w:r w:rsidR="00E62C81">
        <w:rPr>
          <w:rFonts w:ascii="Garamond" w:hAnsi="Garamond"/>
          <w:sz w:val="24"/>
          <w:szCs w:val="24"/>
          <w:lang w:val="es-PE"/>
        </w:rPr>
        <w:t>alternativo</w:t>
      </w:r>
      <w:r>
        <w:rPr>
          <w:rFonts w:ascii="Garamond" w:hAnsi="Garamond"/>
          <w:sz w:val="24"/>
          <w:szCs w:val="24"/>
          <w:lang w:val="es-PE"/>
        </w:rPr>
        <w:t xml:space="preserve"> de solución de conflicto, que permite el ahorro de tiempo, vale decir, que un procedimiento arbitral oscila entre 5 y 6 meses para obtener un resultado y si las controversias son complejas puede durar aproximadamente 9 meses, reduce costos y permite una mayor seguridad en los contratos.</w:t>
      </w:r>
    </w:p>
    <w:p w:rsidR="00C92508" w:rsidRDefault="00C92508" w:rsidP="00740E60">
      <w:pPr>
        <w:spacing w:line="360" w:lineRule="auto"/>
        <w:rPr>
          <w:rFonts w:ascii="Garamond" w:hAnsi="Garamond"/>
          <w:sz w:val="24"/>
          <w:szCs w:val="24"/>
          <w:lang w:val="es-PE"/>
        </w:rPr>
      </w:pPr>
    </w:p>
    <w:p w:rsidR="00C92508" w:rsidRDefault="00C92508" w:rsidP="00E62C81">
      <w:pPr>
        <w:numPr>
          <w:ilvl w:val="0"/>
          <w:numId w:val="3"/>
        </w:numPr>
        <w:spacing w:line="360" w:lineRule="auto"/>
        <w:rPr>
          <w:rFonts w:ascii="Garamond" w:hAnsi="Garamond"/>
          <w:sz w:val="24"/>
          <w:szCs w:val="24"/>
          <w:lang w:val="es-PE"/>
        </w:rPr>
      </w:pPr>
      <w:r>
        <w:rPr>
          <w:rFonts w:ascii="Garamond" w:hAnsi="Garamond"/>
          <w:sz w:val="24"/>
          <w:szCs w:val="24"/>
          <w:lang w:val="es-PE"/>
        </w:rPr>
        <w:t xml:space="preserve">Por otro lado, permite la participación activa del abogado, quién se puede desempeñar como Árbitro de parte, </w:t>
      </w:r>
      <w:r w:rsidR="00181037">
        <w:rPr>
          <w:rFonts w:ascii="Garamond" w:hAnsi="Garamond"/>
          <w:sz w:val="24"/>
          <w:szCs w:val="24"/>
          <w:lang w:val="es-PE"/>
        </w:rPr>
        <w:t>Árbitro designado por un Centro Arbitral, como abogado</w:t>
      </w:r>
      <w:r>
        <w:rPr>
          <w:rFonts w:ascii="Garamond" w:hAnsi="Garamond"/>
          <w:sz w:val="24"/>
          <w:szCs w:val="24"/>
          <w:lang w:val="es-PE"/>
        </w:rPr>
        <w:t xml:space="preserve"> de una de las partes, como Secretario Arbitral Ad Hoc, Secretario Arbitral Institucional, </w:t>
      </w:r>
      <w:r w:rsidR="00181037">
        <w:rPr>
          <w:rFonts w:ascii="Garamond" w:hAnsi="Garamond"/>
          <w:sz w:val="24"/>
          <w:szCs w:val="24"/>
          <w:lang w:val="es-PE"/>
        </w:rPr>
        <w:t xml:space="preserve">todos estos son actores activos que participan en el desarrollo de un proceso arbitral, tal es así, que el tercer párrafo del artículo 52º del Reglamento de la Ley de Contrataciones del Estado, exige que el Árbitro Único o Presidente del Tribunal Arbitral, sean necesariamente abogados, por cuanto las controversias son resueltas en derecho y necesariamente abogados que en resumidas cuenta se les denomina Jueces Privados. </w:t>
      </w:r>
    </w:p>
    <w:p w:rsidR="00181037" w:rsidRDefault="00181037" w:rsidP="00740E60">
      <w:pPr>
        <w:spacing w:line="360" w:lineRule="auto"/>
        <w:rPr>
          <w:rFonts w:ascii="Garamond" w:hAnsi="Garamond"/>
          <w:sz w:val="24"/>
          <w:szCs w:val="24"/>
          <w:lang w:val="es-PE"/>
        </w:rPr>
      </w:pPr>
    </w:p>
    <w:p w:rsidR="009D70E6" w:rsidRPr="00740E60" w:rsidRDefault="009D70E6" w:rsidP="00740E60">
      <w:pPr>
        <w:spacing w:line="360" w:lineRule="auto"/>
        <w:rPr>
          <w:rFonts w:ascii="Garamond" w:hAnsi="Garamond"/>
          <w:b/>
          <w:sz w:val="24"/>
          <w:szCs w:val="24"/>
          <w:lang w:val="es-PE"/>
        </w:rPr>
      </w:pPr>
      <w:r w:rsidRPr="00E62C81">
        <w:rPr>
          <w:rFonts w:ascii="Garamond" w:hAnsi="Garamond"/>
          <w:b/>
          <w:sz w:val="24"/>
          <w:szCs w:val="24"/>
          <w:u w:val="single"/>
          <w:lang w:val="es-PE"/>
        </w:rPr>
        <w:t>BIBLIOGRAFÍA</w:t>
      </w:r>
      <w:r w:rsidRPr="00740E60">
        <w:rPr>
          <w:rFonts w:ascii="Garamond" w:hAnsi="Garamond"/>
          <w:b/>
          <w:sz w:val="24"/>
          <w:szCs w:val="24"/>
          <w:lang w:val="es-PE"/>
        </w:rPr>
        <w:t xml:space="preserve">.- </w:t>
      </w:r>
    </w:p>
    <w:p w:rsidR="009D70E6" w:rsidRPr="00740E60" w:rsidRDefault="009D70E6" w:rsidP="00740E60">
      <w:pPr>
        <w:spacing w:line="360" w:lineRule="auto"/>
        <w:rPr>
          <w:rFonts w:ascii="Garamond" w:hAnsi="Garamond"/>
          <w:b/>
          <w:sz w:val="24"/>
          <w:szCs w:val="24"/>
          <w:lang w:val="es-PE"/>
        </w:rPr>
      </w:pPr>
    </w:p>
    <w:p w:rsidR="00880BAF" w:rsidRPr="00880BAF" w:rsidRDefault="00880BAF" w:rsidP="00FB11C6">
      <w:pPr>
        <w:numPr>
          <w:ilvl w:val="0"/>
          <w:numId w:val="2"/>
        </w:numPr>
        <w:spacing w:line="360" w:lineRule="auto"/>
        <w:rPr>
          <w:rFonts w:ascii="Garamond" w:hAnsi="Garamond"/>
          <w:sz w:val="24"/>
          <w:szCs w:val="24"/>
          <w:lang w:val="es-PE"/>
        </w:rPr>
      </w:pPr>
      <w:r w:rsidRPr="00880BAF">
        <w:rPr>
          <w:rFonts w:ascii="Garamond" w:hAnsi="Garamond"/>
          <w:b/>
          <w:sz w:val="24"/>
          <w:szCs w:val="24"/>
          <w:lang w:val="es-PE"/>
        </w:rPr>
        <w:t>COLLANTES GONZALES, Jorge L. (2000)</w:t>
      </w:r>
      <w:r>
        <w:rPr>
          <w:rFonts w:ascii="Garamond" w:hAnsi="Garamond"/>
          <w:sz w:val="24"/>
          <w:szCs w:val="24"/>
          <w:lang w:val="es-PE"/>
        </w:rPr>
        <w:t>.</w:t>
      </w:r>
      <w:r w:rsidRPr="00880BAF">
        <w:rPr>
          <w:rFonts w:ascii="Garamond" w:hAnsi="Garamond"/>
          <w:i/>
          <w:sz w:val="24"/>
          <w:szCs w:val="24"/>
          <w:lang w:val="es-PE"/>
        </w:rPr>
        <w:t>El Arbitraje en las Distintas Áreas del Derecho</w:t>
      </w:r>
      <w:r w:rsidRPr="00880BAF">
        <w:rPr>
          <w:rFonts w:ascii="Garamond" w:hAnsi="Garamond"/>
          <w:sz w:val="24"/>
          <w:szCs w:val="24"/>
          <w:lang w:val="es-PE"/>
        </w:rPr>
        <w:t>, Edit. Palestra, Lima</w:t>
      </w:r>
      <w:r w:rsidR="00C46F71">
        <w:rPr>
          <w:rFonts w:ascii="Garamond" w:hAnsi="Garamond"/>
          <w:sz w:val="24"/>
          <w:szCs w:val="24"/>
          <w:lang w:val="es-PE"/>
        </w:rPr>
        <w:t>.</w:t>
      </w:r>
    </w:p>
    <w:p w:rsidR="003A53B8" w:rsidRPr="003A53B8" w:rsidRDefault="003A53B8" w:rsidP="00FB11C6">
      <w:pPr>
        <w:numPr>
          <w:ilvl w:val="0"/>
          <w:numId w:val="2"/>
        </w:numPr>
        <w:spacing w:line="360" w:lineRule="auto"/>
        <w:rPr>
          <w:rFonts w:ascii="Garamond" w:hAnsi="Garamond"/>
          <w:b/>
          <w:i/>
          <w:sz w:val="24"/>
          <w:szCs w:val="24"/>
          <w:lang w:val="es-PE"/>
        </w:rPr>
      </w:pPr>
      <w:r w:rsidRPr="003A53B8">
        <w:rPr>
          <w:rFonts w:ascii="Garamond" w:hAnsi="Garamond"/>
          <w:b/>
          <w:sz w:val="24"/>
          <w:szCs w:val="24"/>
          <w:lang w:val="es-PE"/>
        </w:rPr>
        <w:t>CONSTITUCIÓN POLÍTICA DEL PERÚ DE 1993.</w:t>
      </w:r>
    </w:p>
    <w:p w:rsidR="005905C6" w:rsidRPr="00A254C0" w:rsidRDefault="003A53B8" w:rsidP="00FB11C6">
      <w:pPr>
        <w:numPr>
          <w:ilvl w:val="0"/>
          <w:numId w:val="2"/>
        </w:numPr>
        <w:spacing w:line="360" w:lineRule="auto"/>
        <w:rPr>
          <w:rFonts w:ascii="Garamond" w:hAnsi="Garamond"/>
          <w:i/>
          <w:sz w:val="24"/>
          <w:szCs w:val="24"/>
          <w:lang w:val="es-PE"/>
        </w:rPr>
      </w:pPr>
      <w:r w:rsidRPr="002471CA">
        <w:rPr>
          <w:rFonts w:ascii="Garamond" w:hAnsi="Garamond"/>
          <w:b/>
          <w:sz w:val="24"/>
          <w:szCs w:val="24"/>
          <w:lang w:val="es-PE"/>
        </w:rPr>
        <w:t>LEY DE ARBITRAJE</w:t>
      </w:r>
      <w:r w:rsidR="00FB11C6" w:rsidRPr="00FB11C6">
        <w:rPr>
          <w:rFonts w:ascii="Garamond" w:hAnsi="Garamond"/>
          <w:sz w:val="24"/>
          <w:szCs w:val="24"/>
          <w:lang w:val="es-PE"/>
        </w:rPr>
        <w:t xml:space="preserve">- </w:t>
      </w:r>
      <w:r w:rsidR="00FB11C6" w:rsidRPr="00A254C0">
        <w:rPr>
          <w:rFonts w:ascii="Garamond" w:hAnsi="Garamond"/>
          <w:i/>
          <w:sz w:val="24"/>
          <w:szCs w:val="24"/>
          <w:lang w:val="es-PE"/>
        </w:rPr>
        <w:t>Decreto Legislativo N° 1071.</w:t>
      </w:r>
    </w:p>
    <w:p w:rsidR="00A254C0" w:rsidRDefault="00A254C0" w:rsidP="00FB11C6">
      <w:pPr>
        <w:numPr>
          <w:ilvl w:val="0"/>
          <w:numId w:val="2"/>
        </w:numPr>
        <w:spacing w:line="360" w:lineRule="auto"/>
        <w:rPr>
          <w:rFonts w:ascii="Garamond" w:hAnsi="Garamond"/>
          <w:sz w:val="24"/>
          <w:szCs w:val="24"/>
          <w:lang w:val="es-PE"/>
        </w:rPr>
      </w:pPr>
      <w:r w:rsidRPr="00A254C0">
        <w:rPr>
          <w:rFonts w:ascii="Garamond" w:hAnsi="Garamond"/>
          <w:b/>
          <w:sz w:val="24"/>
          <w:szCs w:val="24"/>
          <w:lang w:val="es-PE"/>
        </w:rPr>
        <w:t>MATHEUS LÓPEZ, Carlos.(2009).</w:t>
      </w:r>
      <w:r w:rsidRPr="00A254C0">
        <w:rPr>
          <w:rFonts w:ascii="Garamond" w:hAnsi="Garamond"/>
          <w:i/>
          <w:sz w:val="24"/>
          <w:szCs w:val="24"/>
          <w:lang w:val="es-PE"/>
        </w:rPr>
        <w:t>La Independencia e Imparcialidad del Arbitrio</w:t>
      </w:r>
      <w:r w:rsidRPr="00A254C0">
        <w:rPr>
          <w:rFonts w:ascii="Garamond" w:hAnsi="Garamond"/>
          <w:sz w:val="24"/>
          <w:szCs w:val="24"/>
          <w:lang w:val="es-PE"/>
        </w:rPr>
        <w:t>, Edit. Instituto Vasco de Derecho Procesal, Barcelona</w:t>
      </w:r>
      <w:r w:rsidR="00921DBE">
        <w:rPr>
          <w:rFonts w:ascii="Garamond" w:hAnsi="Garamond"/>
          <w:sz w:val="24"/>
          <w:szCs w:val="24"/>
          <w:lang w:val="es-PE"/>
        </w:rPr>
        <w:t>.</w:t>
      </w:r>
    </w:p>
    <w:p w:rsidR="009F4988" w:rsidRDefault="003B5CBF" w:rsidP="00FB11C6">
      <w:pPr>
        <w:numPr>
          <w:ilvl w:val="0"/>
          <w:numId w:val="2"/>
        </w:numPr>
        <w:spacing w:line="360" w:lineRule="auto"/>
        <w:rPr>
          <w:rFonts w:ascii="Garamond" w:hAnsi="Garamond"/>
          <w:sz w:val="24"/>
          <w:szCs w:val="24"/>
          <w:lang w:val="es-PE"/>
        </w:rPr>
      </w:pPr>
      <w:r w:rsidRPr="009F4988">
        <w:rPr>
          <w:rFonts w:ascii="Garamond" w:hAnsi="Garamond"/>
          <w:b/>
          <w:sz w:val="24"/>
          <w:szCs w:val="24"/>
          <w:lang w:val="es-PE"/>
        </w:rPr>
        <w:t xml:space="preserve">MERINO MERCHÁN, José F. y José María CHILLÓN MEDINA. (2006). </w:t>
      </w:r>
      <w:r w:rsidRPr="003B5CBF">
        <w:rPr>
          <w:rFonts w:ascii="Garamond" w:hAnsi="Garamond"/>
          <w:i/>
          <w:sz w:val="24"/>
          <w:szCs w:val="24"/>
          <w:lang w:val="es-PE"/>
        </w:rPr>
        <w:t>Tratado de Derecho Arbitral</w:t>
      </w:r>
      <w:r w:rsidRPr="003B5CBF">
        <w:rPr>
          <w:rFonts w:ascii="Garamond" w:hAnsi="Garamond"/>
          <w:sz w:val="24"/>
          <w:szCs w:val="24"/>
          <w:lang w:val="es-PE"/>
        </w:rPr>
        <w:t>, 3ª ed., Editorial Aranzandi S.A., Madrid</w:t>
      </w:r>
      <w:r w:rsidR="009F4988">
        <w:rPr>
          <w:rFonts w:ascii="Garamond" w:hAnsi="Garamond"/>
          <w:sz w:val="24"/>
          <w:szCs w:val="24"/>
          <w:lang w:val="es-PE"/>
        </w:rPr>
        <w:t>.</w:t>
      </w:r>
    </w:p>
    <w:p w:rsidR="00FB11C6" w:rsidRPr="00BB1222" w:rsidRDefault="00FC593B" w:rsidP="00BB1222">
      <w:pPr>
        <w:numPr>
          <w:ilvl w:val="0"/>
          <w:numId w:val="2"/>
        </w:numPr>
        <w:spacing w:line="360" w:lineRule="auto"/>
        <w:rPr>
          <w:rFonts w:ascii="Garamond" w:hAnsi="Garamond"/>
          <w:sz w:val="24"/>
          <w:szCs w:val="24"/>
          <w:lang w:val="es-PE"/>
        </w:rPr>
      </w:pPr>
      <w:r w:rsidRPr="003B5CBF">
        <w:rPr>
          <w:rFonts w:ascii="Garamond" w:hAnsi="Garamond"/>
          <w:b/>
          <w:sz w:val="24"/>
          <w:szCs w:val="24"/>
          <w:lang w:val="es-PE"/>
        </w:rPr>
        <w:lastRenderedPageBreak/>
        <w:t xml:space="preserve">MORENO CATENA, Víctor; Cortés </w:t>
      </w:r>
      <w:r w:rsidR="00E62C81" w:rsidRPr="003B5CBF">
        <w:rPr>
          <w:rFonts w:ascii="Garamond" w:hAnsi="Garamond"/>
          <w:b/>
          <w:sz w:val="24"/>
          <w:szCs w:val="24"/>
          <w:lang w:val="es-PE"/>
        </w:rPr>
        <w:t>Domínguez</w:t>
      </w:r>
      <w:r w:rsidRPr="003B5CBF">
        <w:rPr>
          <w:rFonts w:ascii="Garamond" w:hAnsi="Garamond"/>
          <w:b/>
          <w:sz w:val="24"/>
          <w:szCs w:val="24"/>
          <w:lang w:val="es-PE"/>
        </w:rPr>
        <w:t xml:space="preserve">, Valentín; </w:t>
      </w:r>
      <w:proofErr w:type="spellStart"/>
      <w:r w:rsidRPr="003B5CBF">
        <w:rPr>
          <w:rFonts w:ascii="Garamond" w:hAnsi="Garamond"/>
          <w:b/>
          <w:sz w:val="24"/>
          <w:szCs w:val="24"/>
          <w:lang w:val="es-PE"/>
        </w:rPr>
        <w:t>GuimenoSendra</w:t>
      </w:r>
      <w:proofErr w:type="spellEnd"/>
      <w:r w:rsidRPr="003B5CBF">
        <w:rPr>
          <w:rFonts w:ascii="Garamond" w:hAnsi="Garamond"/>
          <w:b/>
          <w:sz w:val="24"/>
          <w:szCs w:val="24"/>
          <w:lang w:val="es-PE"/>
        </w:rPr>
        <w:t>, Vicente.(1995)</w:t>
      </w:r>
      <w:r w:rsidR="00BB1222">
        <w:rPr>
          <w:rFonts w:ascii="Garamond" w:hAnsi="Garamond"/>
          <w:b/>
          <w:sz w:val="24"/>
          <w:szCs w:val="24"/>
          <w:lang w:val="es-PE"/>
        </w:rPr>
        <w:t>.</w:t>
      </w:r>
      <w:r w:rsidRPr="00BB1222">
        <w:rPr>
          <w:rFonts w:ascii="Garamond" w:hAnsi="Garamond"/>
          <w:i/>
          <w:sz w:val="24"/>
          <w:szCs w:val="24"/>
          <w:lang w:val="es-PE"/>
        </w:rPr>
        <w:t>Introducción al Derecho Procesal</w:t>
      </w:r>
      <w:r w:rsidRPr="003B5CBF">
        <w:rPr>
          <w:rFonts w:ascii="Garamond" w:hAnsi="Garamond"/>
          <w:sz w:val="24"/>
          <w:szCs w:val="24"/>
          <w:lang w:val="es-PE"/>
        </w:rPr>
        <w:t>, 2° edición, Tirant lo Blanch, Valencia.</w:t>
      </w:r>
    </w:p>
    <w:p w:rsidR="002471CA" w:rsidRPr="002471CA" w:rsidRDefault="00BB1222" w:rsidP="00FB11C6">
      <w:pPr>
        <w:numPr>
          <w:ilvl w:val="0"/>
          <w:numId w:val="2"/>
        </w:numPr>
        <w:spacing w:line="360" w:lineRule="auto"/>
        <w:rPr>
          <w:rFonts w:ascii="Garamond" w:hAnsi="Garamond"/>
          <w:sz w:val="24"/>
          <w:szCs w:val="24"/>
          <w:lang w:val="es-PE"/>
        </w:rPr>
      </w:pPr>
      <w:r w:rsidRPr="00BB1222">
        <w:rPr>
          <w:rFonts w:ascii="Garamond" w:hAnsi="Garamond"/>
          <w:b/>
          <w:sz w:val="24"/>
          <w:szCs w:val="24"/>
          <w:lang w:val="es-PE"/>
        </w:rPr>
        <w:t>REGLAMENTO DE LA LEY DE CONTRATACIONES DEL ESTADO</w:t>
      </w:r>
      <w:r w:rsidR="00B33371">
        <w:rPr>
          <w:rFonts w:ascii="Garamond" w:hAnsi="Garamond"/>
          <w:sz w:val="24"/>
          <w:szCs w:val="24"/>
          <w:lang w:val="es-PE"/>
        </w:rPr>
        <w:t xml:space="preserve"> (OSCE).</w:t>
      </w:r>
    </w:p>
    <w:p w:rsidR="002471CA" w:rsidRPr="00921DBE" w:rsidRDefault="00880BAF" w:rsidP="00FB11C6">
      <w:pPr>
        <w:numPr>
          <w:ilvl w:val="0"/>
          <w:numId w:val="2"/>
        </w:numPr>
        <w:spacing w:line="360" w:lineRule="auto"/>
        <w:rPr>
          <w:rFonts w:ascii="Garamond" w:hAnsi="Garamond"/>
          <w:sz w:val="24"/>
          <w:szCs w:val="24"/>
          <w:lang w:val="en-US"/>
        </w:rPr>
      </w:pPr>
      <w:r w:rsidRPr="00880BAF">
        <w:rPr>
          <w:rFonts w:ascii="Garamond" w:hAnsi="Garamond"/>
          <w:b/>
          <w:sz w:val="24"/>
          <w:szCs w:val="24"/>
          <w:lang w:val="es-PE"/>
        </w:rPr>
        <w:t xml:space="preserve">ROQUE J. </w:t>
      </w:r>
      <w:proofErr w:type="spellStart"/>
      <w:r w:rsidRPr="00880BAF">
        <w:rPr>
          <w:rFonts w:ascii="Garamond" w:hAnsi="Garamond"/>
          <w:b/>
          <w:sz w:val="24"/>
          <w:szCs w:val="24"/>
          <w:lang w:val="es-PE"/>
        </w:rPr>
        <w:t>C</w:t>
      </w:r>
      <w:r w:rsidR="00E62C81">
        <w:rPr>
          <w:rFonts w:ascii="Garamond" w:hAnsi="Garamond"/>
          <w:b/>
          <w:sz w:val="24"/>
          <w:szCs w:val="24"/>
          <w:lang w:val="es-PE"/>
        </w:rPr>
        <w:t>a</w:t>
      </w:r>
      <w:r w:rsidRPr="00880BAF">
        <w:rPr>
          <w:rFonts w:ascii="Garamond" w:hAnsi="Garamond"/>
          <w:b/>
          <w:sz w:val="24"/>
          <w:szCs w:val="24"/>
          <w:lang w:val="es-PE"/>
        </w:rPr>
        <w:t>ivano</w:t>
      </w:r>
      <w:proofErr w:type="spellEnd"/>
      <w:r w:rsidRPr="00880BAF">
        <w:rPr>
          <w:rFonts w:ascii="Garamond" w:hAnsi="Garamond"/>
          <w:b/>
          <w:sz w:val="24"/>
          <w:szCs w:val="24"/>
          <w:lang w:val="es-PE"/>
        </w:rPr>
        <w:t>. (2008).</w:t>
      </w:r>
      <w:r w:rsidRPr="00BB1222">
        <w:rPr>
          <w:rFonts w:ascii="Garamond" w:hAnsi="Garamond"/>
          <w:i/>
          <w:sz w:val="24"/>
          <w:szCs w:val="24"/>
          <w:lang w:val="es-PE"/>
        </w:rPr>
        <w:t>Arbitraje</w:t>
      </w:r>
      <w:r w:rsidRPr="00880BAF">
        <w:rPr>
          <w:rFonts w:ascii="Garamond" w:hAnsi="Garamond"/>
          <w:sz w:val="24"/>
          <w:szCs w:val="24"/>
          <w:lang w:val="es-PE"/>
        </w:rPr>
        <w:t xml:space="preserve">, Edit. </w:t>
      </w:r>
      <w:r w:rsidRPr="00921DBE">
        <w:rPr>
          <w:rFonts w:ascii="Garamond" w:hAnsi="Garamond"/>
          <w:sz w:val="24"/>
          <w:szCs w:val="24"/>
          <w:lang w:val="en-US"/>
        </w:rPr>
        <w:t>AD-HOC S.R.L., Buenos Aires</w:t>
      </w:r>
      <w:r w:rsidR="00921DBE" w:rsidRPr="00921DBE">
        <w:rPr>
          <w:rFonts w:ascii="Garamond" w:hAnsi="Garamond"/>
          <w:sz w:val="24"/>
          <w:szCs w:val="24"/>
          <w:lang w:val="en-US"/>
        </w:rPr>
        <w:t>.</w:t>
      </w:r>
    </w:p>
    <w:sectPr w:rsidR="002471CA" w:rsidRPr="00921DBE" w:rsidSect="00E71FC1">
      <w:footerReference w:type="default" r:id="rId8"/>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5410" w:rsidRDefault="00A45410" w:rsidP="003F743F">
      <w:r>
        <w:separator/>
      </w:r>
    </w:p>
  </w:endnote>
  <w:endnote w:type="continuationSeparator" w:id="1">
    <w:p w:rsidR="00A45410" w:rsidRDefault="00A45410" w:rsidP="003F74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4E9" w:rsidRDefault="008A0062">
    <w:pPr>
      <w:pStyle w:val="Piedepgina"/>
      <w:jc w:val="right"/>
    </w:pPr>
    <w:r>
      <w:fldChar w:fldCharType="begin"/>
    </w:r>
    <w:r w:rsidR="005434E9">
      <w:instrText xml:space="preserve"> PAGE   \* MERGEFORMAT </w:instrText>
    </w:r>
    <w:r>
      <w:fldChar w:fldCharType="separate"/>
    </w:r>
    <w:r w:rsidR="00E830C5">
      <w:rPr>
        <w:noProof/>
      </w:rPr>
      <w:t>13</w:t>
    </w:r>
    <w:r>
      <w:fldChar w:fldCharType="end"/>
    </w:r>
  </w:p>
  <w:p w:rsidR="005434E9" w:rsidRDefault="005434E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5410" w:rsidRDefault="00A45410" w:rsidP="003F743F">
      <w:r>
        <w:separator/>
      </w:r>
    </w:p>
  </w:footnote>
  <w:footnote w:type="continuationSeparator" w:id="1">
    <w:p w:rsidR="00A45410" w:rsidRDefault="00A45410" w:rsidP="003F743F">
      <w:r>
        <w:continuationSeparator/>
      </w:r>
    </w:p>
  </w:footnote>
  <w:footnote w:id="2">
    <w:p w:rsidR="003F743F" w:rsidRDefault="003F743F" w:rsidP="00283E37">
      <w:r>
        <w:rPr>
          <w:rStyle w:val="Refdenotaalpie"/>
        </w:rPr>
        <w:footnoteRef/>
      </w:r>
      <w:r w:rsidR="00283E37">
        <w:t>A</w:t>
      </w:r>
      <w:r w:rsidR="00E72262">
        <w:t>rtículo 4</w:t>
      </w:r>
      <w:r w:rsidR="00283E37">
        <w:t>°</w:t>
      </w:r>
      <w:r w:rsidR="00E72262">
        <w:t xml:space="preserve"> de la Ley de Arbitraje</w:t>
      </w:r>
      <w:r w:rsidR="00283E37">
        <w:t xml:space="preserve"> - Decreto Legislativo N° 1071 (</w:t>
      </w:r>
      <w:r w:rsidR="00283E37" w:rsidRPr="00C0639F">
        <w:t>la referencia a Estado Peruano comprende el Gobierno Nacional, los Gobiernos Regionales, los Gobiernos Locales y sus respectivas dependencias, así como las personas jurídicas de derecho público, las empresas estatales de derecho público, de derecho privado o de economía mixta y las personas jurídicas de derecho privado que ejerzan función estatal por ley, delegación, conc</w:t>
      </w:r>
      <w:r w:rsidR="00283E37">
        <w:t xml:space="preserve">esión o autorización del Estado, </w:t>
      </w:r>
      <w:r w:rsidR="006B5F32">
        <w:t>etc.</w:t>
      </w:r>
      <w:r w:rsidR="00283E37">
        <w:t>).</w:t>
      </w:r>
    </w:p>
    <w:p w:rsidR="00E62C81" w:rsidRPr="00283E37" w:rsidRDefault="00E62C81" w:rsidP="00283E37"/>
  </w:footnote>
  <w:footnote w:id="3">
    <w:p w:rsidR="00C640C4" w:rsidRDefault="00C640C4">
      <w:pPr>
        <w:pStyle w:val="Textonotapie"/>
      </w:pPr>
      <w:r>
        <w:rPr>
          <w:rStyle w:val="Refdenotaalpie"/>
        </w:rPr>
        <w:footnoteRef/>
      </w:r>
      <w:r>
        <w:t xml:space="preserve"> El inciso 1) del artículo 139 de la  Constitución Política que establece:</w:t>
      </w:r>
    </w:p>
    <w:p w:rsidR="00E62C81" w:rsidRDefault="00C640C4">
      <w:pPr>
        <w:pStyle w:val="Textonotapie"/>
      </w:pPr>
      <w:r>
        <w:t>“Artículo 139.- Son principios y derechos de la función jurisdiccional”:</w:t>
      </w:r>
    </w:p>
    <w:p w:rsidR="00C640C4" w:rsidRDefault="00C640C4">
      <w:pPr>
        <w:pStyle w:val="Textonotapie"/>
      </w:pPr>
      <w:r>
        <w:t xml:space="preserve">1.- La unidad y exclusividad de la función jurisdiccional. </w:t>
      </w:r>
    </w:p>
    <w:p w:rsidR="00C640C4" w:rsidRPr="00C640C4" w:rsidRDefault="00C640C4">
      <w:pPr>
        <w:pStyle w:val="Textonotapie"/>
        <w:rPr>
          <w:lang w:val="es-PE"/>
        </w:rPr>
      </w:pPr>
      <w:r>
        <w:t xml:space="preserve">No existe ni puede establecerse jurisdicción alguna independiente, con excepción de la militar  y </w:t>
      </w:r>
      <w:r w:rsidRPr="00C640C4">
        <w:rPr>
          <w:b/>
          <w:u w:val="single"/>
        </w:rPr>
        <w:t>arbitral</w:t>
      </w:r>
      <w:r>
        <w:t>. (…)”-</w:t>
      </w:r>
    </w:p>
  </w:footnote>
  <w:footnote w:id="4">
    <w:p w:rsidR="00D57FFC" w:rsidRPr="00D57FFC" w:rsidRDefault="00D57FFC">
      <w:pPr>
        <w:pStyle w:val="Textonotapie"/>
        <w:rPr>
          <w:lang w:val="es-PE"/>
        </w:rPr>
      </w:pPr>
      <w:r>
        <w:rPr>
          <w:rStyle w:val="Refdenotaalpie"/>
        </w:rPr>
        <w:footnoteRef/>
      </w:r>
      <w:r>
        <w:t xml:space="preserve"> Citado por </w:t>
      </w:r>
      <w:r w:rsidRPr="00D57FFC">
        <w:rPr>
          <w:b/>
        </w:rPr>
        <w:t>CAIVANO, Roque J</w:t>
      </w:r>
      <w:r>
        <w:t xml:space="preserve">. (2008) </w:t>
      </w:r>
      <w:r w:rsidRPr="000B0C04">
        <w:rPr>
          <w:i/>
          <w:lang w:val="es-PE"/>
        </w:rPr>
        <w:t>Arbitraje,</w:t>
      </w:r>
      <w:r>
        <w:rPr>
          <w:lang w:val="es-PE"/>
        </w:rPr>
        <w:t xml:space="preserve"> 2ª edición, Edit. AD-HOC S.R.L</w:t>
      </w:r>
      <w:r w:rsidR="000B0C04">
        <w:rPr>
          <w:lang w:val="es-PE"/>
        </w:rPr>
        <w:t>;</w:t>
      </w:r>
      <w:r>
        <w:rPr>
          <w:lang w:val="es-PE"/>
        </w:rPr>
        <w:t xml:space="preserve"> Buenos Aires</w:t>
      </w:r>
      <w:r w:rsidR="000B0C04">
        <w:rPr>
          <w:lang w:val="es-PE"/>
        </w:rPr>
        <w:t xml:space="preserve">, </w:t>
      </w:r>
      <w:r w:rsidR="002471CA">
        <w:rPr>
          <w:lang w:val="es-PE"/>
        </w:rPr>
        <w:t xml:space="preserve">1999, </w:t>
      </w:r>
      <w:r w:rsidR="000B0C04">
        <w:rPr>
          <w:lang w:val="es-PE"/>
        </w:rPr>
        <w:t>Pág. 49</w:t>
      </w:r>
      <w:r>
        <w:rPr>
          <w:lang w:val="es-PE"/>
        </w:rPr>
        <w:t xml:space="preserve">. </w:t>
      </w:r>
    </w:p>
  </w:footnote>
  <w:footnote w:id="5">
    <w:p w:rsidR="00362A01" w:rsidRPr="00362A01" w:rsidRDefault="00362A01">
      <w:pPr>
        <w:pStyle w:val="Textonotapie"/>
        <w:rPr>
          <w:lang w:val="es-PE"/>
        </w:rPr>
      </w:pPr>
      <w:r>
        <w:rPr>
          <w:rStyle w:val="Refdenotaalpie"/>
        </w:rPr>
        <w:footnoteRef/>
      </w:r>
      <w:r w:rsidR="00E62C81">
        <w:t>Ibídem</w:t>
      </w:r>
      <w:r w:rsidR="000B0C04">
        <w:t>, Pág. 49.</w:t>
      </w:r>
    </w:p>
  </w:footnote>
  <w:footnote w:id="6">
    <w:p w:rsidR="00EB7496" w:rsidRPr="00EB7496" w:rsidRDefault="00EB7496">
      <w:pPr>
        <w:pStyle w:val="Textonotapie"/>
      </w:pPr>
      <w:r>
        <w:rPr>
          <w:rStyle w:val="Refdenotaalpie"/>
        </w:rPr>
        <w:footnoteRef/>
      </w:r>
      <w:r>
        <w:t xml:space="preserve"> Artículo 218</w:t>
      </w:r>
      <w:r w:rsidR="001C528C">
        <w:t>°</w:t>
      </w:r>
      <w:r>
        <w:t xml:space="preserve"> del Reglamento de la Ley de Contrataciones del Estado.</w:t>
      </w:r>
    </w:p>
  </w:footnote>
  <w:footnote w:id="7">
    <w:p w:rsidR="00230DB9" w:rsidRPr="00230DB9" w:rsidRDefault="00230DB9">
      <w:pPr>
        <w:pStyle w:val="Textonotapie"/>
      </w:pPr>
      <w:r>
        <w:rPr>
          <w:rStyle w:val="Refdenotaalpie"/>
        </w:rPr>
        <w:footnoteRef/>
      </w:r>
      <w:r>
        <w:t xml:space="preserve"> Artículo 10° inciso 1) del Decreto Legislativo N° 1071, establece: “Salvo pacto o estipulación en contrario, el gerente general o el administrador equivalente a una persona jurídica está facultado por su solo nombramiento para celebrar convenios arbitrales, representarla en arbitrajes y ejercer todos los derechos y facultades previstos en este Decreto Legislativo, sin restricción alguna, incluso para  actos de disposición de derechos sustantivos que se discuten en las actuaciones arbitrales”</w:t>
      </w:r>
      <w:r w:rsidR="00910B64">
        <w:t>. (…)</w:t>
      </w:r>
    </w:p>
  </w:footnote>
  <w:footnote w:id="8">
    <w:p w:rsidR="001C528C" w:rsidRDefault="001C528C">
      <w:pPr>
        <w:pStyle w:val="Textonotapie"/>
      </w:pPr>
      <w:r>
        <w:rPr>
          <w:rStyle w:val="Refdenotaalpie"/>
        </w:rPr>
        <w:footnoteRef/>
      </w:r>
      <w:r>
        <w:t xml:space="preserve"> Artículo 36° del Reglamento de la Ley de Contrataciones del Estado.</w:t>
      </w:r>
    </w:p>
    <w:p w:rsidR="00E62C81" w:rsidRPr="001C528C" w:rsidRDefault="00E62C81">
      <w:pPr>
        <w:pStyle w:val="Textonotapie"/>
      </w:pPr>
    </w:p>
  </w:footnote>
  <w:footnote w:id="9">
    <w:p w:rsidR="00DF4D81" w:rsidRPr="006A5842" w:rsidRDefault="006A5842">
      <w:pPr>
        <w:pStyle w:val="Textonotapie"/>
      </w:pPr>
      <w:r>
        <w:rPr>
          <w:rStyle w:val="Refdenotaalpie"/>
        </w:rPr>
        <w:footnoteRef/>
      </w:r>
      <w:r>
        <w:t xml:space="preserve"> Artículo 4</w:t>
      </w:r>
      <w:r w:rsidR="00230DB9">
        <w:t>° del Decreto Legislativo N° 10</w:t>
      </w:r>
      <w:r>
        <w:t>7</w:t>
      </w:r>
      <w:r w:rsidR="00230DB9">
        <w:t>1</w:t>
      </w:r>
      <w:r>
        <w:t xml:space="preserve">, </w:t>
      </w:r>
      <w:proofErr w:type="gramStart"/>
      <w:r>
        <w:t>“ (</w:t>
      </w:r>
      <w:proofErr w:type="gramEnd"/>
      <w:r>
        <w:t xml:space="preserve">…) la referencia a Estado Peruano comprende el Gobierno Nacional, los Gobiernos Regionales, los Gobiernos locales y sus respectivas dependencias, así como las personas jurídicas de derecho público, las empresas estatales de derecho público, de derecho privado o de economía mixta y las personas jurídicas </w:t>
      </w:r>
      <w:r w:rsidR="00B17DC3">
        <w:t>de derecho privado que ejerzan función estatal por ley, delegación concesión o autorización del Estado</w:t>
      </w:r>
      <w:r>
        <w:t>”</w:t>
      </w:r>
      <w:r w:rsidR="00B17DC3">
        <w:t>.</w:t>
      </w:r>
    </w:p>
  </w:footnote>
  <w:footnote w:id="10">
    <w:p w:rsidR="007D6127" w:rsidRDefault="007D6127">
      <w:pPr>
        <w:pStyle w:val="Textonotapie"/>
      </w:pPr>
      <w:r>
        <w:rPr>
          <w:rStyle w:val="Refdenotaalpie"/>
        </w:rPr>
        <w:footnoteRef/>
      </w:r>
      <w:r w:rsidRPr="007D6127">
        <w:t>MATHEUS LÓPEZ, Carlos</w:t>
      </w:r>
      <w:r>
        <w:t xml:space="preserve">. (2009). </w:t>
      </w:r>
      <w:r w:rsidRPr="007D6127">
        <w:rPr>
          <w:i/>
        </w:rPr>
        <w:t>La Independencia e Imparcialidad del Arbitrio</w:t>
      </w:r>
      <w:r>
        <w:t xml:space="preserve">, Edit. </w:t>
      </w:r>
      <w:r w:rsidRPr="007D6127">
        <w:t xml:space="preserve">Instituto Vasco </w:t>
      </w:r>
      <w:r>
        <w:t>d</w:t>
      </w:r>
      <w:r w:rsidRPr="007D6127">
        <w:t>e Derecho Procesal</w:t>
      </w:r>
      <w:r>
        <w:t xml:space="preserve">, </w:t>
      </w:r>
      <w:r w:rsidR="00A254C0">
        <w:t>Barcelona.</w:t>
      </w:r>
    </w:p>
  </w:footnote>
  <w:footnote w:id="11">
    <w:p w:rsidR="00E81AF1" w:rsidRPr="00E81AF1" w:rsidRDefault="00E81AF1">
      <w:pPr>
        <w:pStyle w:val="Textonotapie"/>
        <w:rPr>
          <w:lang w:val="es-PE"/>
        </w:rPr>
      </w:pPr>
      <w:r>
        <w:rPr>
          <w:rStyle w:val="Refdenotaalpie"/>
        </w:rPr>
        <w:footnoteRef/>
      </w:r>
      <w:r>
        <w:rPr>
          <w:lang w:val="es-PE"/>
        </w:rPr>
        <w:t xml:space="preserve">Con similar parecer, </w:t>
      </w:r>
      <w:r w:rsidR="0000230F" w:rsidRPr="00FC593B">
        <w:rPr>
          <w:b/>
          <w:lang w:val="es-PE"/>
        </w:rPr>
        <w:t>MORENO CATENA</w:t>
      </w:r>
      <w:r w:rsidRPr="00FC593B">
        <w:rPr>
          <w:b/>
          <w:lang w:val="es-PE"/>
        </w:rPr>
        <w:t>, Víctor</w:t>
      </w:r>
      <w:r w:rsidR="00FC593B">
        <w:rPr>
          <w:b/>
          <w:lang w:val="es-PE"/>
        </w:rPr>
        <w:t>.</w:t>
      </w:r>
      <w:r w:rsidR="00FC593B" w:rsidRPr="00FC593B">
        <w:rPr>
          <w:b/>
          <w:lang w:val="es-PE"/>
        </w:rPr>
        <w:t>(1995)</w:t>
      </w:r>
      <w:r>
        <w:rPr>
          <w:lang w:val="es-PE"/>
        </w:rPr>
        <w:t xml:space="preserve">Cortés </w:t>
      </w:r>
      <w:r w:rsidR="00E62C81">
        <w:rPr>
          <w:lang w:val="es-PE"/>
        </w:rPr>
        <w:t>Domínguez</w:t>
      </w:r>
      <w:r>
        <w:rPr>
          <w:lang w:val="es-PE"/>
        </w:rPr>
        <w:t xml:space="preserve">, Valentín; </w:t>
      </w:r>
      <w:proofErr w:type="spellStart"/>
      <w:r>
        <w:rPr>
          <w:lang w:val="es-PE"/>
        </w:rPr>
        <w:t>GuimenoSendra</w:t>
      </w:r>
      <w:proofErr w:type="spellEnd"/>
      <w:r>
        <w:rPr>
          <w:lang w:val="es-PE"/>
        </w:rPr>
        <w:t xml:space="preserve">, Vicente </w:t>
      </w:r>
      <w:r w:rsidR="0000230F">
        <w:rPr>
          <w:lang w:val="es-PE"/>
        </w:rPr>
        <w:t>“Introducción</w:t>
      </w:r>
      <w:r>
        <w:rPr>
          <w:lang w:val="es-PE"/>
        </w:rPr>
        <w:t xml:space="preserve"> al Derecho Procesal”, 2° edición, Tirant lo Blanch, Valencia, págs. 19 y 20. Cita recogida en el Libro de Introducción al Derecho de Arbitraje por Carlos Alberto </w:t>
      </w:r>
      <w:proofErr w:type="spellStart"/>
      <w:r>
        <w:rPr>
          <w:lang w:val="es-PE"/>
        </w:rPr>
        <w:t>Matheus</w:t>
      </w:r>
      <w:proofErr w:type="spellEnd"/>
      <w:r>
        <w:rPr>
          <w:lang w:val="es-PE"/>
        </w:rPr>
        <w:t xml:space="preserve"> López, primera edición, 2006</w:t>
      </w:r>
      <w:r w:rsidR="007812E1">
        <w:rPr>
          <w:lang w:val="es-PE"/>
        </w:rPr>
        <w:t>.</w:t>
      </w:r>
    </w:p>
  </w:footnote>
  <w:footnote w:id="12">
    <w:p w:rsidR="00CE0DD0" w:rsidRPr="00E81AF1" w:rsidRDefault="007812E1" w:rsidP="00CE0DD0">
      <w:pPr>
        <w:pStyle w:val="Textonotapie"/>
        <w:rPr>
          <w:lang w:val="es-PE"/>
        </w:rPr>
      </w:pPr>
      <w:r>
        <w:rPr>
          <w:rStyle w:val="Refdenotaalpie"/>
        </w:rPr>
        <w:footnoteRef/>
      </w:r>
      <w:r>
        <w:t xml:space="preserve"> En tal sentido, “Tanto el proceso arbitral como el jurisdiccional importan-básicamente- una relación jurídica trilateral, compuesta por sujetos imparciales </w:t>
      </w:r>
      <w:r w:rsidR="00CE0DD0">
        <w:t>(órgano</w:t>
      </w:r>
      <w:r>
        <w:t xml:space="preserve"> arbitral o jurisdiccional  y auxiliares jurisdiccionales o arbitrales) y por sujetos parciales (parte activa y pasiva). Pudiendo a la vez el órganos jurisdiccional o arbitral ser singular (juez y árbitro único, respectivamente) o colegiado (sala y tribunal arbitral, respectivamente)” (</w:t>
      </w:r>
      <w:proofErr w:type="spellStart"/>
      <w:r>
        <w:t>Matheus</w:t>
      </w:r>
      <w:proofErr w:type="spellEnd"/>
      <w:r>
        <w:t xml:space="preserve"> López, Carlos Alberto “Las Ventajas del Arbitraje frente al Proceso Judicial”</w:t>
      </w:r>
      <w:r w:rsidR="00CE0DD0">
        <w:t>, en anuario de Derecho Civil de la Facultad de Derecho y Ciencias Sociales de la Universidad Católica de Córdova, Tomo VIII, Buenos Aires, 2003, págs. 19-20</w:t>
      </w:r>
      <w:r>
        <w:t>)</w:t>
      </w:r>
      <w:r w:rsidR="00CE0DD0">
        <w:t>.</w:t>
      </w:r>
      <w:r w:rsidR="00CE0DD0">
        <w:rPr>
          <w:lang w:val="es-PE"/>
        </w:rPr>
        <w:t xml:space="preserve">Cita recogida en el Libro de Introducción al Derecho de Arbitraje por Carlos Alberto </w:t>
      </w:r>
      <w:proofErr w:type="spellStart"/>
      <w:r w:rsidR="00CE0DD0">
        <w:rPr>
          <w:lang w:val="es-PE"/>
        </w:rPr>
        <w:t>Matheus</w:t>
      </w:r>
      <w:proofErr w:type="spellEnd"/>
      <w:r w:rsidR="00CE0DD0">
        <w:rPr>
          <w:lang w:val="es-PE"/>
        </w:rPr>
        <w:t xml:space="preserve"> López, primera edición, 2006.</w:t>
      </w:r>
    </w:p>
    <w:p w:rsidR="007812E1" w:rsidRPr="007812E1" w:rsidRDefault="007812E1">
      <w:pPr>
        <w:pStyle w:val="Textonotapie"/>
        <w:rPr>
          <w:lang w:val="es-PE"/>
        </w:rPr>
      </w:pPr>
    </w:p>
  </w:footnote>
  <w:footnote w:id="13">
    <w:p w:rsidR="00BF30FC" w:rsidRPr="00BF30FC" w:rsidRDefault="00BF30FC">
      <w:pPr>
        <w:pStyle w:val="Textonotapie"/>
        <w:rPr>
          <w:lang w:val="es-PE"/>
        </w:rPr>
      </w:pPr>
      <w:r>
        <w:rPr>
          <w:rStyle w:val="Refdenotaalpie"/>
        </w:rPr>
        <w:footnoteRef/>
      </w:r>
      <w:r>
        <w:rPr>
          <w:lang w:val="es-PE"/>
        </w:rPr>
        <w:t>Comentarios a la Ley Peruana de Arbitraje, Tomo I, Enero 2011, Instituto Peruano de Arbitraje, pág.288.</w:t>
      </w:r>
    </w:p>
  </w:footnote>
  <w:footnote w:id="14">
    <w:p w:rsidR="00BF30FC" w:rsidRPr="00BF30FC" w:rsidRDefault="00BF30FC">
      <w:pPr>
        <w:pStyle w:val="Textonotapie"/>
        <w:rPr>
          <w:lang w:val="es-PE"/>
        </w:rPr>
      </w:pPr>
      <w:r>
        <w:rPr>
          <w:rStyle w:val="Refdenotaalpie"/>
        </w:rPr>
        <w:footnoteRef/>
      </w:r>
      <w:r w:rsidR="008911D1">
        <w:rPr>
          <w:lang w:val="es-PE"/>
        </w:rPr>
        <w:t>MERINO MERCHÁN</w:t>
      </w:r>
      <w:r>
        <w:rPr>
          <w:lang w:val="es-PE"/>
        </w:rPr>
        <w:t>, José</w:t>
      </w:r>
      <w:r w:rsidR="000B5D49">
        <w:rPr>
          <w:lang w:val="es-PE"/>
        </w:rPr>
        <w:t xml:space="preserve"> F. y José María </w:t>
      </w:r>
      <w:r w:rsidR="008911D1">
        <w:rPr>
          <w:lang w:val="es-PE"/>
        </w:rPr>
        <w:t>CHILLÓN MEDINA</w:t>
      </w:r>
      <w:r w:rsidR="000B5D49">
        <w:rPr>
          <w:lang w:val="es-PE"/>
        </w:rPr>
        <w:t xml:space="preserve">, Tratado de Derecho Arbitral, 3ª ed., Editorial Aranzandi S.A., Madrid, 2006, </w:t>
      </w:r>
      <w:proofErr w:type="spellStart"/>
      <w:r w:rsidR="000B5D49">
        <w:rPr>
          <w:lang w:val="es-PE"/>
        </w:rPr>
        <w:t>ps</w:t>
      </w:r>
      <w:proofErr w:type="spellEnd"/>
      <w:r w:rsidR="000B5D49">
        <w:rPr>
          <w:lang w:val="es-PE"/>
        </w:rPr>
        <w:t xml:space="preserve">. 1358 y 1359. Autores citados por </w:t>
      </w:r>
      <w:proofErr w:type="spellStart"/>
      <w:r w:rsidR="000B5D49">
        <w:rPr>
          <w:lang w:val="es-PE"/>
        </w:rPr>
        <w:t>Natalé</w:t>
      </w:r>
      <w:proofErr w:type="spellEnd"/>
      <w:r w:rsidR="000B5D49">
        <w:rPr>
          <w:lang w:val="es-PE"/>
        </w:rPr>
        <w:t xml:space="preserve"> Amprimo en el Libro                    “Comentarios a la Ley Peruana de Arbitraje”.</w:t>
      </w:r>
    </w:p>
  </w:footnote>
  <w:footnote w:id="15">
    <w:p w:rsidR="0063179D" w:rsidRPr="0063179D" w:rsidRDefault="0063179D">
      <w:pPr>
        <w:pStyle w:val="Textonotapie"/>
        <w:rPr>
          <w:lang w:val="es-PE"/>
        </w:rPr>
      </w:pPr>
      <w:r>
        <w:rPr>
          <w:rStyle w:val="Refdenotaalpie"/>
        </w:rPr>
        <w:footnoteRef/>
      </w:r>
      <w:r>
        <w:rPr>
          <w:lang w:val="es-PE"/>
        </w:rPr>
        <w:t>Comentarios a la Ley Peruana de Arbitraje, Ob. Cit. pág.288.</w:t>
      </w:r>
    </w:p>
  </w:footnote>
  <w:footnote w:id="16">
    <w:p w:rsidR="00D60C96" w:rsidRPr="00D60C96" w:rsidRDefault="00D60C96">
      <w:pPr>
        <w:pStyle w:val="Textonotapie"/>
        <w:rPr>
          <w:lang w:val="es-PE"/>
        </w:rPr>
      </w:pPr>
      <w:r>
        <w:rPr>
          <w:rStyle w:val="Refdenotaalpie"/>
        </w:rPr>
        <w:footnoteRef/>
      </w:r>
      <w:r w:rsidRPr="00D60C96">
        <w:rPr>
          <w:b/>
          <w:lang w:val="es-PE"/>
        </w:rPr>
        <w:t xml:space="preserve">ROQUE J. </w:t>
      </w:r>
      <w:proofErr w:type="spellStart"/>
      <w:r w:rsidR="00E62C81" w:rsidRPr="00D60C96">
        <w:rPr>
          <w:b/>
          <w:lang w:val="es-PE"/>
        </w:rPr>
        <w:t>C</w:t>
      </w:r>
      <w:r w:rsidR="00E62C81">
        <w:rPr>
          <w:b/>
          <w:lang w:val="es-PE"/>
        </w:rPr>
        <w:t>a</w:t>
      </w:r>
      <w:r w:rsidR="00E62C81" w:rsidRPr="00D60C96">
        <w:rPr>
          <w:b/>
          <w:lang w:val="es-PE"/>
        </w:rPr>
        <w:t>ivano</w:t>
      </w:r>
      <w:proofErr w:type="spellEnd"/>
      <w:r w:rsidR="009F1F52">
        <w:rPr>
          <w:b/>
          <w:lang w:val="es-PE"/>
        </w:rPr>
        <w:t>.</w:t>
      </w:r>
      <w:r w:rsidR="00387760" w:rsidRPr="00387760">
        <w:rPr>
          <w:b/>
          <w:lang w:val="es-PE"/>
        </w:rPr>
        <w:t>(2008).</w:t>
      </w:r>
      <w:r>
        <w:rPr>
          <w:lang w:val="es-PE"/>
        </w:rPr>
        <w:t xml:space="preserve">Arbitraje, Edit. AD-HOC S.R.L., Buenos Aires, Pág. 248 </w:t>
      </w:r>
    </w:p>
  </w:footnote>
  <w:footnote w:id="17">
    <w:p w:rsidR="0076645A" w:rsidRPr="0076645A" w:rsidRDefault="0076645A">
      <w:pPr>
        <w:pStyle w:val="Textonotapie"/>
        <w:rPr>
          <w:lang w:val="es-PE"/>
        </w:rPr>
      </w:pPr>
      <w:r>
        <w:rPr>
          <w:rStyle w:val="Refdenotaalpie"/>
        </w:rPr>
        <w:footnoteRef/>
      </w:r>
      <w:r>
        <w:rPr>
          <w:lang w:val="es-PE"/>
        </w:rPr>
        <w:t>Comentarios a la Ley Peruana de Arbitraje, Ob. Cit. pág. 588.</w:t>
      </w:r>
    </w:p>
  </w:footnote>
  <w:footnote w:id="18">
    <w:p w:rsidR="00086C84" w:rsidRPr="00086C84" w:rsidRDefault="00086C84">
      <w:pPr>
        <w:pStyle w:val="Textonotapie"/>
        <w:rPr>
          <w:lang w:val="es-PE"/>
        </w:rPr>
      </w:pPr>
      <w:r>
        <w:rPr>
          <w:rStyle w:val="Refdenotaalpie"/>
        </w:rPr>
        <w:footnoteRef/>
      </w:r>
      <w:r w:rsidRPr="002A6C6E">
        <w:rPr>
          <w:b/>
          <w:lang w:val="es-PE"/>
        </w:rPr>
        <w:t>COLLANTES GONZALES, Jorge L</w:t>
      </w:r>
      <w:r>
        <w:rPr>
          <w:lang w:val="es-PE"/>
        </w:rPr>
        <w:t xml:space="preserve">. </w:t>
      </w:r>
      <w:r w:rsidR="00880BAF" w:rsidRPr="00880BAF">
        <w:rPr>
          <w:b/>
          <w:lang w:val="es-PE"/>
        </w:rPr>
        <w:t>(2000)</w:t>
      </w:r>
      <w:r w:rsidRPr="00880BAF">
        <w:rPr>
          <w:i/>
          <w:lang w:val="es-PE"/>
        </w:rPr>
        <w:t>El Arbitraje en las Distintas Áreas del Derecho</w:t>
      </w:r>
      <w:r>
        <w:rPr>
          <w:lang w:val="es-PE"/>
        </w:rPr>
        <w:t>, Edit. Palestra, Lima, Pág. 115.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965A0"/>
    <w:multiLevelType w:val="hybridMultilevel"/>
    <w:tmpl w:val="4250690C"/>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nsid w:val="4737480C"/>
    <w:multiLevelType w:val="hybridMultilevel"/>
    <w:tmpl w:val="8354A8C0"/>
    <w:lvl w:ilvl="0" w:tplc="7964583C">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88C6340"/>
    <w:multiLevelType w:val="hybridMultilevel"/>
    <w:tmpl w:val="1B80594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0"/>
    <w:footnote w:id="1"/>
  </w:footnotePr>
  <w:endnotePr>
    <w:endnote w:id="0"/>
    <w:endnote w:id="1"/>
  </w:endnotePr>
  <w:compat/>
  <w:rsids>
    <w:rsidRoot w:val="003F743F"/>
    <w:rsid w:val="0000230F"/>
    <w:rsid w:val="00005154"/>
    <w:rsid w:val="00011055"/>
    <w:rsid w:val="00012882"/>
    <w:rsid w:val="00060EF7"/>
    <w:rsid w:val="00066D11"/>
    <w:rsid w:val="0007543D"/>
    <w:rsid w:val="00086C84"/>
    <w:rsid w:val="00090B13"/>
    <w:rsid w:val="000969B7"/>
    <w:rsid w:val="000B0C04"/>
    <w:rsid w:val="000B5D49"/>
    <w:rsid w:val="000C1FC3"/>
    <w:rsid w:val="000D2AE1"/>
    <w:rsid w:val="000F38F2"/>
    <w:rsid w:val="00107443"/>
    <w:rsid w:val="00136239"/>
    <w:rsid w:val="00141971"/>
    <w:rsid w:val="00147BBB"/>
    <w:rsid w:val="00181037"/>
    <w:rsid w:val="001A5172"/>
    <w:rsid w:val="001B2ED1"/>
    <w:rsid w:val="001C528C"/>
    <w:rsid w:val="00230DB9"/>
    <w:rsid w:val="002471CA"/>
    <w:rsid w:val="00283E37"/>
    <w:rsid w:val="00291DFB"/>
    <w:rsid w:val="00297289"/>
    <w:rsid w:val="002A6C6E"/>
    <w:rsid w:val="002D3D79"/>
    <w:rsid w:val="002D724C"/>
    <w:rsid w:val="002E42D1"/>
    <w:rsid w:val="002F331E"/>
    <w:rsid w:val="003548FA"/>
    <w:rsid w:val="00362A01"/>
    <w:rsid w:val="00373EEA"/>
    <w:rsid w:val="00377D22"/>
    <w:rsid w:val="003804AD"/>
    <w:rsid w:val="00387760"/>
    <w:rsid w:val="0039614A"/>
    <w:rsid w:val="003A53B8"/>
    <w:rsid w:val="003B5CBF"/>
    <w:rsid w:val="003D19BD"/>
    <w:rsid w:val="003F21BD"/>
    <w:rsid w:val="003F743F"/>
    <w:rsid w:val="00443721"/>
    <w:rsid w:val="00490FE8"/>
    <w:rsid w:val="00496C2F"/>
    <w:rsid w:val="004C72BD"/>
    <w:rsid w:val="004E1FB2"/>
    <w:rsid w:val="00505AAC"/>
    <w:rsid w:val="00521D0D"/>
    <w:rsid w:val="00530744"/>
    <w:rsid w:val="005404BB"/>
    <w:rsid w:val="005434E9"/>
    <w:rsid w:val="0056603E"/>
    <w:rsid w:val="00580CEA"/>
    <w:rsid w:val="00585B47"/>
    <w:rsid w:val="005905C6"/>
    <w:rsid w:val="005A4A6F"/>
    <w:rsid w:val="005A5ED4"/>
    <w:rsid w:val="005F1E61"/>
    <w:rsid w:val="005F6417"/>
    <w:rsid w:val="005F6FFB"/>
    <w:rsid w:val="0060350E"/>
    <w:rsid w:val="0063179D"/>
    <w:rsid w:val="00636C31"/>
    <w:rsid w:val="006916ED"/>
    <w:rsid w:val="006917D5"/>
    <w:rsid w:val="006A24F6"/>
    <w:rsid w:val="006A4F25"/>
    <w:rsid w:val="006A54D2"/>
    <w:rsid w:val="006A5842"/>
    <w:rsid w:val="006A70F8"/>
    <w:rsid w:val="006B0012"/>
    <w:rsid w:val="006B5F32"/>
    <w:rsid w:val="006E01B4"/>
    <w:rsid w:val="006E5864"/>
    <w:rsid w:val="006F6ED0"/>
    <w:rsid w:val="006F7D22"/>
    <w:rsid w:val="007036FC"/>
    <w:rsid w:val="00716379"/>
    <w:rsid w:val="00740E60"/>
    <w:rsid w:val="0076645A"/>
    <w:rsid w:val="007812E1"/>
    <w:rsid w:val="00794513"/>
    <w:rsid w:val="007A2D20"/>
    <w:rsid w:val="007A616B"/>
    <w:rsid w:val="007B77B3"/>
    <w:rsid w:val="007D00DB"/>
    <w:rsid w:val="007D242C"/>
    <w:rsid w:val="007D6127"/>
    <w:rsid w:val="007F48EC"/>
    <w:rsid w:val="008013EB"/>
    <w:rsid w:val="008103CB"/>
    <w:rsid w:val="00836FB3"/>
    <w:rsid w:val="00846721"/>
    <w:rsid w:val="008546A4"/>
    <w:rsid w:val="00871D4A"/>
    <w:rsid w:val="008759DE"/>
    <w:rsid w:val="00880BAF"/>
    <w:rsid w:val="008904EE"/>
    <w:rsid w:val="008911D1"/>
    <w:rsid w:val="008A0062"/>
    <w:rsid w:val="008A1EC8"/>
    <w:rsid w:val="008A4065"/>
    <w:rsid w:val="008F657C"/>
    <w:rsid w:val="008F6A1F"/>
    <w:rsid w:val="00910B64"/>
    <w:rsid w:val="00921DBE"/>
    <w:rsid w:val="00923689"/>
    <w:rsid w:val="009257B6"/>
    <w:rsid w:val="009602FB"/>
    <w:rsid w:val="00962616"/>
    <w:rsid w:val="00973659"/>
    <w:rsid w:val="0098272E"/>
    <w:rsid w:val="009A5BCC"/>
    <w:rsid w:val="009A67B1"/>
    <w:rsid w:val="009B084E"/>
    <w:rsid w:val="009B3BDB"/>
    <w:rsid w:val="009D1961"/>
    <w:rsid w:val="009D70E6"/>
    <w:rsid w:val="009F1F52"/>
    <w:rsid w:val="009F4988"/>
    <w:rsid w:val="009F693C"/>
    <w:rsid w:val="009F74D9"/>
    <w:rsid w:val="00A254C0"/>
    <w:rsid w:val="00A265E8"/>
    <w:rsid w:val="00A45410"/>
    <w:rsid w:val="00A57238"/>
    <w:rsid w:val="00A6068C"/>
    <w:rsid w:val="00A753AE"/>
    <w:rsid w:val="00A9516B"/>
    <w:rsid w:val="00AB30B7"/>
    <w:rsid w:val="00AC10FE"/>
    <w:rsid w:val="00AE4874"/>
    <w:rsid w:val="00AF097D"/>
    <w:rsid w:val="00B105AE"/>
    <w:rsid w:val="00B11B00"/>
    <w:rsid w:val="00B17DC3"/>
    <w:rsid w:val="00B22D88"/>
    <w:rsid w:val="00B30B6E"/>
    <w:rsid w:val="00B33371"/>
    <w:rsid w:val="00B421EE"/>
    <w:rsid w:val="00B4410A"/>
    <w:rsid w:val="00B54748"/>
    <w:rsid w:val="00B633EA"/>
    <w:rsid w:val="00B679AF"/>
    <w:rsid w:val="00B71EDA"/>
    <w:rsid w:val="00BB1222"/>
    <w:rsid w:val="00BB6AD0"/>
    <w:rsid w:val="00BC199A"/>
    <w:rsid w:val="00BE3CF1"/>
    <w:rsid w:val="00BF30FC"/>
    <w:rsid w:val="00BF3171"/>
    <w:rsid w:val="00BF6436"/>
    <w:rsid w:val="00C01734"/>
    <w:rsid w:val="00C34CC2"/>
    <w:rsid w:val="00C46F71"/>
    <w:rsid w:val="00C640C4"/>
    <w:rsid w:val="00C728AA"/>
    <w:rsid w:val="00C92508"/>
    <w:rsid w:val="00CE0DD0"/>
    <w:rsid w:val="00D14C9C"/>
    <w:rsid w:val="00D21858"/>
    <w:rsid w:val="00D4589E"/>
    <w:rsid w:val="00D57FFC"/>
    <w:rsid w:val="00D60C96"/>
    <w:rsid w:val="00D70B52"/>
    <w:rsid w:val="00DC13EB"/>
    <w:rsid w:val="00DF4D81"/>
    <w:rsid w:val="00E16609"/>
    <w:rsid w:val="00E37DAC"/>
    <w:rsid w:val="00E62C81"/>
    <w:rsid w:val="00E71FC1"/>
    <w:rsid w:val="00E72262"/>
    <w:rsid w:val="00E81AF1"/>
    <w:rsid w:val="00E830C5"/>
    <w:rsid w:val="00E835E3"/>
    <w:rsid w:val="00EB7496"/>
    <w:rsid w:val="00ED5616"/>
    <w:rsid w:val="00EE315D"/>
    <w:rsid w:val="00EF1FC7"/>
    <w:rsid w:val="00F04EEF"/>
    <w:rsid w:val="00F10A0F"/>
    <w:rsid w:val="00F14F5F"/>
    <w:rsid w:val="00F33BC1"/>
    <w:rsid w:val="00F40728"/>
    <w:rsid w:val="00F571C3"/>
    <w:rsid w:val="00F57471"/>
    <w:rsid w:val="00F63A98"/>
    <w:rsid w:val="00F8213F"/>
    <w:rsid w:val="00F85D44"/>
    <w:rsid w:val="00F86280"/>
    <w:rsid w:val="00FB11C6"/>
    <w:rsid w:val="00FB68B7"/>
    <w:rsid w:val="00FC593B"/>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PE" w:eastAsia="es-P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3EA"/>
    <w:pPr>
      <w:jc w:val="both"/>
    </w:pPr>
    <w:rPr>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link w:val="TtuloCar"/>
    <w:qFormat/>
    <w:rsid w:val="00B633EA"/>
    <w:pPr>
      <w:jc w:val="center"/>
    </w:pPr>
    <w:rPr>
      <w:b/>
      <w:i/>
      <w:sz w:val="24"/>
      <w:u w:val="single"/>
    </w:rPr>
  </w:style>
  <w:style w:type="character" w:customStyle="1" w:styleId="TtuloCar">
    <w:name w:val="Título Car"/>
    <w:basedOn w:val="Fuentedeprrafopredeter"/>
    <w:link w:val="Ttulo"/>
    <w:rsid w:val="00B633EA"/>
    <w:rPr>
      <w:b/>
      <w:i/>
      <w:sz w:val="24"/>
      <w:u w:val="single"/>
      <w:lang w:val="es-ES" w:eastAsia="es-ES"/>
    </w:rPr>
  </w:style>
  <w:style w:type="paragraph" w:styleId="Textonotapie">
    <w:name w:val="footnote text"/>
    <w:basedOn w:val="Normal"/>
    <w:link w:val="TextonotapieCar"/>
    <w:semiHidden/>
    <w:unhideWhenUsed/>
    <w:rsid w:val="003F743F"/>
  </w:style>
  <w:style w:type="character" w:customStyle="1" w:styleId="TextonotapieCar">
    <w:name w:val="Texto nota pie Car"/>
    <w:basedOn w:val="Fuentedeprrafopredeter"/>
    <w:link w:val="Textonotapie"/>
    <w:uiPriority w:val="99"/>
    <w:semiHidden/>
    <w:rsid w:val="003F743F"/>
    <w:rPr>
      <w:lang w:val="es-ES" w:eastAsia="es-ES"/>
    </w:rPr>
  </w:style>
  <w:style w:type="character" w:styleId="Refdenotaalpie">
    <w:name w:val="footnote reference"/>
    <w:basedOn w:val="Fuentedeprrafopredeter"/>
    <w:semiHidden/>
    <w:unhideWhenUsed/>
    <w:rsid w:val="003F743F"/>
    <w:rPr>
      <w:vertAlign w:val="superscript"/>
    </w:rPr>
  </w:style>
  <w:style w:type="paragraph" w:customStyle="1" w:styleId="p3">
    <w:name w:val="p3"/>
    <w:basedOn w:val="Normal"/>
    <w:rsid w:val="00846721"/>
    <w:pPr>
      <w:widowControl w:val="0"/>
      <w:tabs>
        <w:tab w:val="left" w:pos="520"/>
      </w:tabs>
      <w:autoSpaceDE w:val="0"/>
      <w:autoSpaceDN w:val="0"/>
      <w:adjustRightInd w:val="0"/>
      <w:spacing w:line="240" w:lineRule="atLeast"/>
      <w:ind w:left="864" w:hanging="576"/>
    </w:pPr>
    <w:rPr>
      <w:sz w:val="24"/>
      <w:szCs w:val="24"/>
    </w:rPr>
  </w:style>
  <w:style w:type="paragraph" w:styleId="Subttulo">
    <w:name w:val="Subtitle"/>
    <w:basedOn w:val="Normal"/>
    <w:next w:val="Normal"/>
    <w:link w:val="SubttuloCar"/>
    <w:qFormat/>
    <w:rsid w:val="00EE315D"/>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EE315D"/>
    <w:rPr>
      <w:rFonts w:ascii="Cambria" w:eastAsia="Times New Roman" w:hAnsi="Cambria" w:cs="Times New Roman"/>
      <w:sz w:val="24"/>
      <w:szCs w:val="24"/>
      <w:lang w:val="es-ES" w:eastAsia="es-ES"/>
    </w:rPr>
  </w:style>
  <w:style w:type="paragraph" w:styleId="Encabezado">
    <w:name w:val="header"/>
    <w:basedOn w:val="Normal"/>
    <w:link w:val="EncabezadoCar"/>
    <w:uiPriority w:val="99"/>
    <w:semiHidden/>
    <w:unhideWhenUsed/>
    <w:rsid w:val="005434E9"/>
    <w:pPr>
      <w:tabs>
        <w:tab w:val="center" w:pos="4419"/>
        <w:tab w:val="right" w:pos="8838"/>
      </w:tabs>
    </w:pPr>
  </w:style>
  <w:style w:type="character" w:customStyle="1" w:styleId="EncabezadoCar">
    <w:name w:val="Encabezado Car"/>
    <w:basedOn w:val="Fuentedeprrafopredeter"/>
    <w:link w:val="Encabezado"/>
    <w:uiPriority w:val="99"/>
    <w:semiHidden/>
    <w:rsid w:val="005434E9"/>
    <w:rPr>
      <w:lang w:val="es-ES" w:eastAsia="es-ES"/>
    </w:rPr>
  </w:style>
  <w:style w:type="paragraph" w:styleId="Piedepgina">
    <w:name w:val="footer"/>
    <w:basedOn w:val="Normal"/>
    <w:link w:val="PiedepginaCar"/>
    <w:uiPriority w:val="99"/>
    <w:unhideWhenUsed/>
    <w:rsid w:val="005434E9"/>
    <w:pPr>
      <w:tabs>
        <w:tab w:val="center" w:pos="4419"/>
        <w:tab w:val="right" w:pos="8838"/>
      </w:tabs>
    </w:pPr>
  </w:style>
  <w:style w:type="character" w:customStyle="1" w:styleId="PiedepginaCar">
    <w:name w:val="Pie de página Car"/>
    <w:basedOn w:val="Fuentedeprrafopredeter"/>
    <w:link w:val="Piedepgina"/>
    <w:uiPriority w:val="99"/>
    <w:rsid w:val="005434E9"/>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PE" w:eastAsia="es-P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3EA"/>
    <w:pPr>
      <w:jc w:val="both"/>
    </w:pPr>
    <w:rPr>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link w:val="TtuloCar"/>
    <w:qFormat/>
    <w:rsid w:val="00B633EA"/>
    <w:pPr>
      <w:jc w:val="center"/>
    </w:pPr>
    <w:rPr>
      <w:b/>
      <w:i/>
      <w:sz w:val="24"/>
      <w:u w:val="single"/>
    </w:rPr>
  </w:style>
  <w:style w:type="character" w:customStyle="1" w:styleId="TtuloCar">
    <w:name w:val="Título Car"/>
    <w:basedOn w:val="Fuentedeprrafopredeter"/>
    <w:link w:val="Ttulo"/>
    <w:rsid w:val="00B633EA"/>
    <w:rPr>
      <w:b/>
      <w:i/>
      <w:sz w:val="24"/>
      <w:u w:val="single"/>
      <w:lang w:val="es-ES" w:eastAsia="es-ES"/>
    </w:rPr>
  </w:style>
  <w:style w:type="paragraph" w:styleId="Textonotapie">
    <w:name w:val="footnote text"/>
    <w:basedOn w:val="Normal"/>
    <w:link w:val="TextonotapieCar"/>
    <w:semiHidden/>
    <w:unhideWhenUsed/>
    <w:rsid w:val="003F743F"/>
  </w:style>
  <w:style w:type="character" w:customStyle="1" w:styleId="TextonotapieCar">
    <w:name w:val="Texto nota pie Car"/>
    <w:basedOn w:val="Fuentedeprrafopredeter"/>
    <w:link w:val="Textonotapie"/>
    <w:uiPriority w:val="99"/>
    <w:semiHidden/>
    <w:rsid w:val="003F743F"/>
    <w:rPr>
      <w:lang w:val="es-ES" w:eastAsia="es-ES"/>
    </w:rPr>
  </w:style>
  <w:style w:type="character" w:styleId="Refdenotaalpie">
    <w:name w:val="footnote reference"/>
    <w:basedOn w:val="Fuentedeprrafopredeter"/>
    <w:semiHidden/>
    <w:unhideWhenUsed/>
    <w:rsid w:val="003F743F"/>
    <w:rPr>
      <w:vertAlign w:val="superscript"/>
    </w:rPr>
  </w:style>
  <w:style w:type="paragraph" w:customStyle="1" w:styleId="p3">
    <w:name w:val="p3"/>
    <w:basedOn w:val="Normal"/>
    <w:rsid w:val="00846721"/>
    <w:pPr>
      <w:widowControl w:val="0"/>
      <w:tabs>
        <w:tab w:val="left" w:pos="520"/>
      </w:tabs>
      <w:autoSpaceDE w:val="0"/>
      <w:autoSpaceDN w:val="0"/>
      <w:adjustRightInd w:val="0"/>
      <w:spacing w:line="240" w:lineRule="atLeast"/>
      <w:ind w:left="864" w:hanging="576"/>
    </w:pPr>
    <w:rPr>
      <w:sz w:val="24"/>
      <w:szCs w:val="24"/>
    </w:rPr>
  </w:style>
  <w:style w:type="paragraph" w:styleId="Subttulo">
    <w:name w:val="Subtitle"/>
    <w:basedOn w:val="Normal"/>
    <w:next w:val="Normal"/>
    <w:link w:val="SubttuloCar"/>
    <w:qFormat/>
    <w:rsid w:val="00EE315D"/>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EE315D"/>
    <w:rPr>
      <w:rFonts w:ascii="Cambria" w:eastAsia="Times New Roman" w:hAnsi="Cambria" w:cs="Times New Roman"/>
      <w:sz w:val="24"/>
      <w:szCs w:val="24"/>
      <w:lang w:val="es-ES" w:eastAsia="es-ES"/>
    </w:rPr>
  </w:style>
  <w:style w:type="paragraph" w:styleId="Encabezado">
    <w:name w:val="header"/>
    <w:basedOn w:val="Normal"/>
    <w:link w:val="EncabezadoCar"/>
    <w:uiPriority w:val="99"/>
    <w:semiHidden/>
    <w:unhideWhenUsed/>
    <w:rsid w:val="005434E9"/>
    <w:pPr>
      <w:tabs>
        <w:tab w:val="center" w:pos="4419"/>
        <w:tab w:val="right" w:pos="8838"/>
      </w:tabs>
    </w:pPr>
  </w:style>
  <w:style w:type="character" w:customStyle="1" w:styleId="EncabezadoCar">
    <w:name w:val="Encabezado Car"/>
    <w:basedOn w:val="Fuentedeprrafopredeter"/>
    <w:link w:val="Encabezado"/>
    <w:uiPriority w:val="99"/>
    <w:semiHidden/>
    <w:rsid w:val="005434E9"/>
    <w:rPr>
      <w:lang w:val="es-ES" w:eastAsia="es-ES"/>
    </w:rPr>
  </w:style>
  <w:style w:type="paragraph" w:styleId="Piedepgina">
    <w:name w:val="footer"/>
    <w:basedOn w:val="Normal"/>
    <w:link w:val="PiedepginaCar"/>
    <w:uiPriority w:val="99"/>
    <w:unhideWhenUsed/>
    <w:rsid w:val="005434E9"/>
    <w:pPr>
      <w:tabs>
        <w:tab w:val="center" w:pos="4419"/>
        <w:tab w:val="right" w:pos="8838"/>
      </w:tabs>
    </w:pPr>
  </w:style>
  <w:style w:type="character" w:customStyle="1" w:styleId="PiedepginaCar">
    <w:name w:val="Pie de página Car"/>
    <w:basedOn w:val="Fuentedeprrafopredeter"/>
    <w:link w:val="Piedepgina"/>
    <w:uiPriority w:val="99"/>
    <w:rsid w:val="005434E9"/>
    <w:rPr>
      <w:lang w:val="es-E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B4FC7-86D6-4FA9-BE59-2721990EB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13</Pages>
  <Words>3634</Words>
  <Characters>19993</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23580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JIMMY PISFIL</dc:creator>
  <cp:lastModifiedBy>*</cp:lastModifiedBy>
  <cp:revision>4</cp:revision>
  <cp:lastPrinted>2011-03-21T21:04:00Z</cp:lastPrinted>
  <dcterms:created xsi:type="dcterms:W3CDTF">2011-07-25T23:06:00Z</dcterms:created>
  <dcterms:modified xsi:type="dcterms:W3CDTF">2011-09-19T15:35:00Z</dcterms:modified>
</cp:coreProperties>
</file>