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13" w:rsidRPr="001F5C13" w:rsidRDefault="001F5C13" w:rsidP="00DB7197">
      <w:pPr>
        <w:spacing w:after="0" w:line="240" w:lineRule="auto"/>
        <w:jc w:val="both"/>
        <w:rPr>
          <w:rFonts w:ascii="Arial" w:hAnsi="Arial" w:cs="Arial"/>
          <w:sz w:val="20"/>
          <w:szCs w:val="20"/>
        </w:rPr>
      </w:pPr>
      <w:r>
        <w:rPr>
          <w:rFonts w:ascii="Arial" w:hAnsi="Arial" w:cs="Arial"/>
          <w:sz w:val="20"/>
          <w:szCs w:val="20"/>
        </w:rPr>
        <w:t>1</w:t>
      </w:r>
      <w:r w:rsidRPr="00315799">
        <w:rPr>
          <w:rFonts w:ascii="Arial" w:hAnsi="Arial" w:cs="Arial"/>
          <w:b/>
          <w:sz w:val="20"/>
          <w:szCs w:val="20"/>
        </w:rPr>
        <w:t>.- Cuáles son las Organizaciones Auxiliares de Crédito, que reconoce la ley vigente de La                              Ley General de Organizaciones y Actividades Auxiliares de Crédito</w:t>
      </w:r>
    </w:p>
    <w:p w:rsidR="001F5C13" w:rsidRDefault="001F5C13" w:rsidP="00DB7197">
      <w:pPr>
        <w:spacing w:after="0" w:line="240" w:lineRule="auto"/>
        <w:jc w:val="both"/>
        <w:rPr>
          <w:rFonts w:ascii="Arial" w:hAnsi="Arial" w:cs="Arial"/>
          <w:sz w:val="20"/>
          <w:szCs w:val="20"/>
        </w:rPr>
      </w:pPr>
      <w:r w:rsidRPr="00315799">
        <w:rPr>
          <w:rFonts w:ascii="Arial" w:hAnsi="Arial" w:cs="Arial"/>
          <w:sz w:val="20"/>
          <w:szCs w:val="20"/>
        </w:rPr>
        <w:t xml:space="preserve">Almacenes Generales de Depósito, Arrendadoras Financieras, Uniones de Crédito, y empresas de factoraje </w:t>
      </w:r>
      <w:proofErr w:type="spellStart"/>
      <w:r w:rsidRPr="00315799">
        <w:rPr>
          <w:rFonts w:ascii="Arial" w:hAnsi="Arial" w:cs="Arial"/>
          <w:sz w:val="20"/>
          <w:szCs w:val="20"/>
        </w:rPr>
        <w:t>Fianciero</w:t>
      </w:r>
      <w:proofErr w:type="spellEnd"/>
    </w:p>
    <w:p w:rsidR="00DB7197" w:rsidRPr="00315799" w:rsidRDefault="00DB7197" w:rsidP="00DB7197">
      <w:pPr>
        <w:spacing w:after="0" w:line="240" w:lineRule="auto"/>
        <w:jc w:val="both"/>
        <w:rPr>
          <w:rFonts w:ascii="Arial" w:hAnsi="Arial" w:cs="Arial"/>
          <w:sz w:val="20"/>
          <w:szCs w:val="20"/>
        </w:rPr>
      </w:pPr>
    </w:p>
    <w:p w:rsidR="001F5C13" w:rsidRPr="00315799" w:rsidRDefault="001F5C13" w:rsidP="00DB7197">
      <w:pPr>
        <w:spacing w:after="0" w:line="240" w:lineRule="auto"/>
        <w:jc w:val="both"/>
        <w:rPr>
          <w:rFonts w:ascii="Arial" w:hAnsi="Arial" w:cs="Arial"/>
          <w:b/>
          <w:sz w:val="20"/>
          <w:szCs w:val="20"/>
        </w:rPr>
      </w:pPr>
      <w:r w:rsidRPr="00315799">
        <w:rPr>
          <w:rFonts w:ascii="Arial" w:hAnsi="Arial" w:cs="Arial"/>
          <w:b/>
          <w:sz w:val="20"/>
          <w:szCs w:val="20"/>
        </w:rPr>
        <w:t>2.-Cuáles son las Actividades Auxiliares de Crédito, que reconoce la ley vigente de La Ley General de Organizaciones y Actividades Auxiliares de Crédito</w:t>
      </w:r>
    </w:p>
    <w:p w:rsidR="001F5C13" w:rsidRDefault="001F5C13" w:rsidP="00DB7197">
      <w:pPr>
        <w:spacing w:after="0" w:line="240" w:lineRule="auto"/>
        <w:jc w:val="both"/>
        <w:rPr>
          <w:rFonts w:ascii="Arial" w:hAnsi="Arial" w:cs="Arial"/>
          <w:sz w:val="20"/>
          <w:szCs w:val="20"/>
        </w:rPr>
      </w:pPr>
      <w:r w:rsidRPr="00315799">
        <w:rPr>
          <w:rFonts w:ascii="Arial" w:hAnsi="Arial" w:cs="Arial"/>
          <w:sz w:val="20"/>
          <w:szCs w:val="20"/>
        </w:rPr>
        <w:t>Compra-venta habitual y profesional de divisas</w:t>
      </w:r>
      <w:r w:rsidR="00315799">
        <w:rPr>
          <w:rFonts w:ascii="Arial" w:hAnsi="Arial" w:cs="Arial"/>
          <w:sz w:val="20"/>
          <w:szCs w:val="20"/>
        </w:rPr>
        <w:t xml:space="preserve">/ </w:t>
      </w:r>
      <w:r w:rsidRPr="00315799">
        <w:rPr>
          <w:rFonts w:ascii="Arial" w:hAnsi="Arial" w:cs="Arial"/>
          <w:sz w:val="20"/>
          <w:szCs w:val="20"/>
        </w:rPr>
        <w:t>Realización habitual y profesional de operaciones de crédito, arrendamiento y factoraje financiero</w:t>
      </w:r>
    </w:p>
    <w:p w:rsidR="00DB7197" w:rsidRPr="00315799" w:rsidRDefault="00DB7197" w:rsidP="00DB7197">
      <w:pPr>
        <w:spacing w:after="0" w:line="240" w:lineRule="auto"/>
        <w:jc w:val="both"/>
        <w:rPr>
          <w:rFonts w:ascii="Arial" w:hAnsi="Arial" w:cs="Arial"/>
          <w:sz w:val="20"/>
          <w:szCs w:val="20"/>
        </w:rPr>
      </w:pPr>
    </w:p>
    <w:p w:rsidR="001F5C13" w:rsidRDefault="00315799" w:rsidP="00DB7197">
      <w:pPr>
        <w:spacing w:after="0" w:line="240" w:lineRule="auto"/>
        <w:jc w:val="both"/>
        <w:rPr>
          <w:rFonts w:ascii="Arial" w:hAnsi="Arial" w:cs="Arial"/>
          <w:sz w:val="20"/>
          <w:szCs w:val="20"/>
        </w:rPr>
      </w:pPr>
      <w:r w:rsidRPr="00315799">
        <w:rPr>
          <w:rFonts w:ascii="Arial" w:hAnsi="Arial" w:cs="Arial"/>
          <w:b/>
          <w:sz w:val="20"/>
          <w:szCs w:val="20"/>
        </w:rPr>
        <w:t>3.-</w:t>
      </w:r>
      <w:r w:rsidR="001F5C13" w:rsidRPr="00315799">
        <w:rPr>
          <w:rFonts w:ascii="Arial" w:hAnsi="Arial" w:cs="Arial"/>
          <w:b/>
          <w:sz w:val="20"/>
          <w:szCs w:val="20"/>
        </w:rPr>
        <w:t xml:space="preserve">De quien requiere escuchar la opinión la  Secretaria de Hacienda y Crédito Público para otorgar la autorización, para la constitución y operación de los almacenes generales de </w:t>
      </w:r>
      <w:proofErr w:type="gramStart"/>
      <w:r w:rsidR="001F5C13" w:rsidRPr="00315799">
        <w:rPr>
          <w:rFonts w:ascii="Arial" w:hAnsi="Arial" w:cs="Arial"/>
          <w:b/>
          <w:sz w:val="20"/>
          <w:szCs w:val="20"/>
        </w:rPr>
        <w:t>Depósito(</w:t>
      </w:r>
      <w:proofErr w:type="gramEnd"/>
      <w:r w:rsidR="001F5C13" w:rsidRPr="00315799">
        <w:rPr>
          <w:rFonts w:ascii="Arial" w:hAnsi="Arial" w:cs="Arial"/>
          <w:b/>
          <w:sz w:val="20"/>
          <w:szCs w:val="20"/>
        </w:rPr>
        <w:t>LGOAAC)</w:t>
      </w:r>
      <w:r>
        <w:rPr>
          <w:rFonts w:ascii="Arial" w:hAnsi="Arial" w:cs="Arial"/>
          <w:b/>
          <w:sz w:val="20"/>
          <w:szCs w:val="20"/>
        </w:rPr>
        <w:t xml:space="preserve"> </w:t>
      </w:r>
      <w:r w:rsidR="001F5C13" w:rsidRPr="00315799">
        <w:rPr>
          <w:rFonts w:ascii="Arial" w:hAnsi="Arial" w:cs="Arial"/>
          <w:sz w:val="20"/>
          <w:szCs w:val="20"/>
        </w:rPr>
        <w:t>Comisión Nacional Bancaria y de Valores</w:t>
      </w:r>
      <w:r>
        <w:rPr>
          <w:rFonts w:ascii="Arial" w:hAnsi="Arial" w:cs="Arial"/>
          <w:sz w:val="20"/>
          <w:szCs w:val="20"/>
        </w:rPr>
        <w:t xml:space="preserve"> / </w:t>
      </w:r>
      <w:r w:rsidR="001F5C13" w:rsidRPr="00315799">
        <w:rPr>
          <w:rFonts w:ascii="Arial" w:hAnsi="Arial" w:cs="Arial"/>
          <w:sz w:val="20"/>
          <w:szCs w:val="20"/>
        </w:rPr>
        <w:t>Banco de México</w:t>
      </w:r>
    </w:p>
    <w:p w:rsidR="00DB7197" w:rsidRPr="00A9706B" w:rsidRDefault="00DB7197" w:rsidP="00DB7197">
      <w:pPr>
        <w:spacing w:after="0" w:line="240" w:lineRule="auto"/>
        <w:jc w:val="both"/>
        <w:rPr>
          <w:rFonts w:ascii="Arial" w:hAnsi="Arial" w:cs="Arial"/>
          <w:b/>
          <w:sz w:val="20"/>
          <w:szCs w:val="20"/>
        </w:rPr>
      </w:pPr>
    </w:p>
    <w:p w:rsidR="001F5C13" w:rsidRDefault="00A9706B" w:rsidP="00DB7197">
      <w:pPr>
        <w:spacing w:after="0" w:line="240" w:lineRule="auto"/>
        <w:jc w:val="both"/>
        <w:rPr>
          <w:rFonts w:ascii="Arial" w:hAnsi="Arial" w:cs="Arial"/>
          <w:sz w:val="20"/>
          <w:szCs w:val="20"/>
        </w:rPr>
      </w:pPr>
      <w:r>
        <w:rPr>
          <w:rFonts w:ascii="Arial" w:hAnsi="Arial" w:cs="Arial"/>
          <w:b/>
          <w:sz w:val="20"/>
          <w:szCs w:val="20"/>
        </w:rPr>
        <w:t>4.-</w:t>
      </w:r>
      <w:r w:rsidR="001F5C13" w:rsidRPr="00A9706B">
        <w:rPr>
          <w:rFonts w:ascii="Arial" w:hAnsi="Arial" w:cs="Arial"/>
          <w:b/>
          <w:sz w:val="20"/>
          <w:szCs w:val="20"/>
        </w:rPr>
        <w:t>Cuál es el importe del depósito que se deberá de acompañar a la solicitud de autorización para constituir y operar una organización auxiliar de crédito</w:t>
      </w:r>
      <w:r>
        <w:rPr>
          <w:rFonts w:ascii="Arial" w:hAnsi="Arial" w:cs="Arial"/>
          <w:b/>
          <w:sz w:val="20"/>
          <w:szCs w:val="20"/>
        </w:rPr>
        <w:t xml:space="preserve"> </w:t>
      </w:r>
      <w:r w:rsidR="001F5C13" w:rsidRPr="00A9706B">
        <w:rPr>
          <w:rFonts w:ascii="Arial" w:hAnsi="Arial" w:cs="Arial"/>
          <w:sz w:val="20"/>
          <w:szCs w:val="20"/>
        </w:rPr>
        <w:t>10 % del capital mínimo exigido para su constitución</w:t>
      </w:r>
    </w:p>
    <w:p w:rsidR="00DB7197" w:rsidRPr="00A9706B"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Pr>
          <w:rFonts w:ascii="Arial" w:hAnsi="Arial" w:cs="Arial"/>
          <w:b/>
          <w:sz w:val="20"/>
          <w:szCs w:val="20"/>
        </w:rPr>
        <w:t>5.-</w:t>
      </w:r>
      <w:r w:rsidR="001F5C13" w:rsidRPr="00A9706B">
        <w:rPr>
          <w:rFonts w:ascii="Arial" w:hAnsi="Arial" w:cs="Arial"/>
          <w:b/>
          <w:sz w:val="20"/>
          <w:szCs w:val="20"/>
        </w:rPr>
        <w:t>Que leyes son supletorias a las disposiciones de la Ley General de Organizaciones y Actividades de Crédito</w:t>
      </w:r>
    </w:p>
    <w:p w:rsidR="001F5C13" w:rsidRDefault="001F5C13" w:rsidP="00DB7197">
      <w:pPr>
        <w:spacing w:after="0" w:line="240" w:lineRule="auto"/>
        <w:jc w:val="both"/>
        <w:rPr>
          <w:rFonts w:ascii="Arial" w:hAnsi="Arial" w:cs="Arial"/>
          <w:sz w:val="20"/>
          <w:szCs w:val="20"/>
        </w:rPr>
      </w:pPr>
      <w:r w:rsidRPr="00A9706B">
        <w:rPr>
          <w:rFonts w:ascii="Arial" w:hAnsi="Arial" w:cs="Arial"/>
          <w:sz w:val="20"/>
          <w:szCs w:val="20"/>
        </w:rPr>
        <w:t>Leyes Mercantiles</w:t>
      </w:r>
      <w:r w:rsidR="00A9706B">
        <w:rPr>
          <w:rFonts w:ascii="Arial" w:hAnsi="Arial" w:cs="Arial"/>
          <w:sz w:val="20"/>
          <w:szCs w:val="20"/>
        </w:rPr>
        <w:t xml:space="preserve"> /</w:t>
      </w:r>
      <w:r w:rsidRPr="00A9706B">
        <w:rPr>
          <w:rFonts w:ascii="Arial" w:hAnsi="Arial" w:cs="Arial"/>
          <w:sz w:val="20"/>
          <w:szCs w:val="20"/>
        </w:rPr>
        <w:t>Usos mercantiles imperantes entre Organizaciones Auxiliares de Crédito</w:t>
      </w:r>
      <w:r w:rsidR="00A9706B">
        <w:rPr>
          <w:rFonts w:ascii="Arial" w:hAnsi="Arial" w:cs="Arial"/>
          <w:sz w:val="20"/>
          <w:szCs w:val="20"/>
        </w:rPr>
        <w:t xml:space="preserve"> / </w:t>
      </w:r>
      <w:r w:rsidRPr="00A9706B">
        <w:rPr>
          <w:rFonts w:ascii="Arial" w:hAnsi="Arial" w:cs="Arial"/>
          <w:sz w:val="20"/>
          <w:szCs w:val="20"/>
        </w:rPr>
        <w:t>Derecho común</w:t>
      </w:r>
    </w:p>
    <w:p w:rsidR="00DB7197" w:rsidRPr="00A9706B" w:rsidRDefault="00DB7197" w:rsidP="00DB7197">
      <w:pPr>
        <w:spacing w:after="0" w:line="240" w:lineRule="auto"/>
        <w:jc w:val="both"/>
        <w:rPr>
          <w:rFonts w:ascii="Arial" w:hAnsi="Arial" w:cs="Arial"/>
          <w:sz w:val="20"/>
          <w:szCs w:val="20"/>
        </w:rPr>
      </w:pPr>
    </w:p>
    <w:p w:rsidR="001F5C13" w:rsidRPr="00A9706B" w:rsidRDefault="00A9706B" w:rsidP="00DB7197">
      <w:pPr>
        <w:spacing w:after="0" w:line="240" w:lineRule="auto"/>
        <w:jc w:val="both"/>
        <w:rPr>
          <w:rFonts w:ascii="Arial" w:hAnsi="Arial" w:cs="Arial"/>
          <w:b/>
          <w:sz w:val="20"/>
          <w:szCs w:val="20"/>
        </w:rPr>
      </w:pPr>
      <w:r>
        <w:rPr>
          <w:rFonts w:ascii="Arial" w:hAnsi="Arial" w:cs="Arial"/>
          <w:sz w:val="20"/>
          <w:szCs w:val="20"/>
        </w:rPr>
        <w:t>6.-</w:t>
      </w:r>
      <w:r w:rsidR="001F5C13" w:rsidRPr="00A9706B">
        <w:rPr>
          <w:rFonts w:ascii="Arial" w:hAnsi="Arial" w:cs="Arial"/>
          <w:b/>
          <w:sz w:val="20"/>
          <w:szCs w:val="20"/>
        </w:rPr>
        <w:t xml:space="preserve">Cuál es el objeto de los Almacenes generales de </w:t>
      </w:r>
      <w:proofErr w:type="gramStart"/>
      <w:r w:rsidR="001F5C13" w:rsidRPr="00A9706B">
        <w:rPr>
          <w:rFonts w:ascii="Arial" w:hAnsi="Arial" w:cs="Arial"/>
          <w:b/>
          <w:sz w:val="20"/>
          <w:szCs w:val="20"/>
        </w:rPr>
        <w:t>deposito</w:t>
      </w:r>
      <w:proofErr w:type="gramEnd"/>
    </w:p>
    <w:p w:rsidR="001F5C13" w:rsidRDefault="001F5C13" w:rsidP="00DB7197">
      <w:pPr>
        <w:spacing w:after="0" w:line="240" w:lineRule="auto"/>
        <w:jc w:val="both"/>
        <w:rPr>
          <w:rFonts w:ascii="Arial" w:hAnsi="Arial" w:cs="Arial"/>
          <w:sz w:val="20"/>
          <w:szCs w:val="20"/>
        </w:rPr>
      </w:pPr>
      <w:r w:rsidRPr="00A9706B">
        <w:rPr>
          <w:rFonts w:ascii="Arial" w:hAnsi="Arial" w:cs="Arial"/>
          <w:sz w:val="20"/>
          <w:szCs w:val="20"/>
        </w:rPr>
        <w:t xml:space="preserve">El almacenamiento, guarda o conservación, manejo, control, distribución o comercialización e bienes o mercancías bajo su custodia o que se encuentra en tránsito, </w:t>
      </w:r>
      <w:proofErr w:type="gramStart"/>
      <w:r w:rsidRPr="00A9706B">
        <w:rPr>
          <w:rFonts w:ascii="Arial" w:hAnsi="Arial" w:cs="Arial"/>
          <w:sz w:val="20"/>
          <w:szCs w:val="20"/>
        </w:rPr>
        <w:t>amparados</w:t>
      </w:r>
      <w:proofErr w:type="gramEnd"/>
      <w:r w:rsidRPr="00A9706B">
        <w:rPr>
          <w:rFonts w:ascii="Arial" w:hAnsi="Arial" w:cs="Arial"/>
          <w:sz w:val="20"/>
          <w:szCs w:val="20"/>
        </w:rPr>
        <w:t xml:space="preserve"> por certificados de depósito y el otorgamiento de financiamientos con garantía de los mismos.</w:t>
      </w:r>
    </w:p>
    <w:p w:rsidR="00DB7197" w:rsidRPr="00A9706B" w:rsidRDefault="00DB7197" w:rsidP="00DB7197">
      <w:pPr>
        <w:spacing w:after="0" w:line="240" w:lineRule="auto"/>
        <w:jc w:val="both"/>
        <w:rPr>
          <w:rFonts w:ascii="Arial" w:hAnsi="Arial" w:cs="Arial"/>
          <w:sz w:val="20"/>
          <w:szCs w:val="20"/>
        </w:rPr>
      </w:pPr>
    </w:p>
    <w:p w:rsidR="001F5C13" w:rsidRDefault="00A9706B" w:rsidP="00DB7197">
      <w:pPr>
        <w:spacing w:after="0" w:line="240" w:lineRule="auto"/>
        <w:jc w:val="both"/>
        <w:rPr>
          <w:rFonts w:ascii="Arial" w:hAnsi="Arial" w:cs="Arial"/>
          <w:b/>
          <w:sz w:val="20"/>
          <w:szCs w:val="20"/>
        </w:rPr>
      </w:pPr>
      <w:r w:rsidRPr="00A9706B">
        <w:rPr>
          <w:rFonts w:ascii="Arial" w:hAnsi="Arial" w:cs="Arial"/>
          <w:b/>
          <w:sz w:val="20"/>
          <w:szCs w:val="20"/>
        </w:rPr>
        <w:t>7.-</w:t>
      </w:r>
      <w:r w:rsidR="001F5C13" w:rsidRPr="00A9706B">
        <w:rPr>
          <w:rFonts w:ascii="Arial" w:hAnsi="Arial" w:cs="Arial"/>
          <w:b/>
          <w:sz w:val="20"/>
          <w:szCs w:val="20"/>
        </w:rPr>
        <w:t>Cuáles son las 3 clases de almacenes generales de deposito (ART 12 LGOAAC)</w:t>
      </w:r>
    </w:p>
    <w:p w:rsidR="00DB7197" w:rsidRDefault="00DB7197" w:rsidP="00DB7197">
      <w:pPr>
        <w:spacing w:after="0" w:line="240" w:lineRule="auto"/>
        <w:jc w:val="both"/>
        <w:rPr>
          <w:rFonts w:ascii="Arial" w:hAnsi="Arial" w:cs="Arial"/>
          <w:b/>
          <w:sz w:val="20"/>
          <w:szCs w:val="20"/>
        </w:rPr>
      </w:pPr>
    </w:p>
    <w:p w:rsidR="00DB7197" w:rsidRPr="00A9706B" w:rsidRDefault="00DB7197" w:rsidP="00DB7197">
      <w:pPr>
        <w:spacing w:after="0" w:line="240" w:lineRule="auto"/>
        <w:jc w:val="both"/>
        <w:rPr>
          <w:rFonts w:ascii="Arial" w:hAnsi="Arial" w:cs="Arial"/>
          <w:b/>
          <w:sz w:val="20"/>
          <w:szCs w:val="20"/>
        </w:rPr>
      </w:pPr>
    </w:p>
    <w:p w:rsidR="001F5C13" w:rsidRDefault="00A9706B" w:rsidP="00DB7197">
      <w:pPr>
        <w:spacing w:after="0" w:line="240" w:lineRule="auto"/>
        <w:jc w:val="both"/>
        <w:rPr>
          <w:rFonts w:ascii="Arial" w:hAnsi="Arial" w:cs="Arial"/>
          <w:b/>
          <w:sz w:val="20"/>
          <w:szCs w:val="20"/>
        </w:rPr>
      </w:pPr>
      <w:r w:rsidRPr="00A9706B">
        <w:rPr>
          <w:rFonts w:ascii="Arial" w:hAnsi="Arial" w:cs="Arial"/>
          <w:b/>
          <w:sz w:val="20"/>
          <w:szCs w:val="20"/>
        </w:rPr>
        <w:t>8.-</w:t>
      </w:r>
      <w:r w:rsidR="001F5C13" w:rsidRPr="00A9706B">
        <w:rPr>
          <w:rFonts w:ascii="Arial" w:hAnsi="Arial" w:cs="Arial"/>
          <w:b/>
          <w:sz w:val="20"/>
          <w:szCs w:val="20"/>
        </w:rPr>
        <w:t xml:space="preserve">El capital y reservas de capital de los almacenes generales de depósito en que se deberán </w:t>
      </w:r>
      <w:proofErr w:type="gramStart"/>
      <w:r w:rsidR="001F5C13" w:rsidRPr="00A9706B">
        <w:rPr>
          <w:rFonts w:ascii="Arial" w:hAnsi="Arial" w:cs="Arial"/>
          <w:b/>
          <w:sz w:val="20"/>
          <w:szCs w:val="20"/>
        </w:rPr>
        <w:t>invertir(</w:t>
      </w:r>
      <w:proofErr w:type="gramEnd"/>
      <w:r w:rsidR="001F5C13" w:rsidRPr="00A9706B">
        <w:rPr>
          <w:rFonts w:ascii="Arial" w:hAnsi="Arial" w:cs="Arial"/>
          <w:b/>
          <w:sz w:val="20"/>
          <w:szCs w:val="20"/>
        </w:rPr>
        <w:t>art 15 LGOAAC)</w:t>
      </w:r>
    </w:p>
    <w:p w:rsidR="00DB7197" w:rsidRDefault="00DB7197" w:rsidP="00DB7197">
      <w:pPr>
        <w:spacing w:after="0" w:line="240" w:lineRule="auto"/>
        <w:jc w:val="both"/>
        <w:rPr>
          <w:rFonts w:ascii="Arial" w:hAnsi="Arial" w:cs="Arial"/>
          <w:b/>
          <w:sz w:val="20"/>
          <w:szCs w:val="20"/>
        </w:rPr>
      </w:pPr>
    </w:p>
    <w:p w:rsidR="00DB7197" w:rsidRPr="00A9706B" w:rsidRDefault="00DB7197" w:rsidP="00DB7197">
      <w:pPr>
        <w:spacing w:after="0" w:line="240" w:lineRule="auto"/>
        <w:jc w:val="both"/>
        <w:rPr>
          <w:rFonts w:ascii="Arial" w:hAnsi="Arial" w:cs="Arial"/>
          <w:b/>
          <w:sz w:val="20"/>
          <w:szCs w:val="20"/>
        </w:rPr>
      </w:pPr>
    </w:p>
    <w:p w:rsidR="00DB7197" w:rsidRPr="00A9706B" w:rsidRDefault="00A9706B" w:rsidP="00DB7197">
      <w:pPr>
        <w:spacing w:after="0" w:line="240" w:lineRule="auto"/>
        <w:jc w:val="both"/>
        <w:rPr>
          <w:rFonts w:ascii="Arial" w:hAnsi="Arial" w:cs="Arial"/>
          <w:b/>
          <w:sz w:val="20"/>
          <w:szCs w:val="20"/>
        </w:rPr>
      </w:pPr>
      <w:r>
        <w:rPr>
          <w:rFonts w:ascii="Arial" w:hAnsi="Arial" w:cs="Arial"/>
          <w:sz w:val="20"/>
          <w:szCs w:val="20"/>
        </w:rPr>
        <w:t>9</w:t>
      </w:r>
      <w:proofErr w:type="gramStart"/>
      <w:r>
        <w:rPr>
          <w:rFonts w:ascii="Arial" w:hAnsi="Arial" w:cs="Arial"/>
          <w:sz w:val="20"/>
          <w:szCs w:val="20"/>
        </w:rPr>
        <w:t>,.</w:t>
      </w:r>
      <w:proofErr w:type="gramEnd"/>
      <w:r w:rsidR="001F5C13" w:rsidRPr="00A9706B">
        <w:rPr>
          <w:rFonts w:ascii="Arial" w:hAnsi="Arial" w:cs="Arial"/>
          <w:b/>
          <w:sz w:val="20"/>
          <w:szCs w:val="20"/>
        </w:rPr>
        <w:t>En qué consiste el certificado de depósito y el bono de Prenda (LGTOC)</w:t>
      </w:r>
    </w:p>
    <w:p w:rsidR="00A9706B" w:rsidRDefault="001F5C13" w:rsidP="00DB7197">
      <w:pPr>
        <w:spacing w:after="0" w:line="240" w:lineRule="auto"/>
        <w:jc w:val="both"/>
        <w:rPr>
          <w:rFonts w:ascii="Arial" w:hAnsi="Arial" w:cs="Arial"/>
          <w:sz w:val="20"/>
          <w:szCs w:val="20"/>
        </w:rPr>
      </w:pPr>
      <w:r w:rsidRPr="00A9706B">
        <w:rPr>
          <w:rFonts w:ascii="Arial" w:hAnsi="Arial" w:cs="Arial"/>
          <w:sz w:val="20"/>
          <w:szCs w:val="20"/>
        </w:rPr>
        <w:t>Certificado de depósito.- acredita la propiedad de mercancías o bienes depositados en el Almacén que lo emite</w:t>
      </w:r>
      <w:r w:rsidR="00A9706B">
        <w:rPr>
          <w:rFonts w:ascii="Arial" w:hAnsi="Arial" w:cs="Arial"/>
          <w:sz w:val="20"/>
          <w:szCs w:val="20"/>
        </w:rPr>
        <w:t xml:space="preserve">/ </w:t>
      </w:r>
      <w:r w:rsidRPr="00A9706B">
        <w:rPr>
          <w:rFonts w:ascii="Arial" w:hAnsi="Arial" w:cs="Arial"/>
          <w:sz w:val="20"/>
          <w:szCs w:val="20"/>
        </w:rPr>
        <w:t>Bono de prenda.- acredita la constitución de un crédito prendario sobre las mercancías o bienes indicados en el certificado de depósito correspondiente</w:t>
      </w: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10.-</w:t>
      </w:r>
      <w:r w:rsidR="001F5C13" w:rsidRPr="00A9706B">
        <w:rPr>
          <w:rFonts w:ascii="Arial" w:hAnsi="Arial" w:cs="Arial"/>
          <w:b/>
          <w:sz w:val="20"/>
          <w:szCs w:val="20"/>
        </w:rPr>
        <w:t xml:space="preserve">En qué consiste el contrato de Arrendamiento Financiero (LGTOC) </w:t>
      </w:r>
    </w:p>
    <w:p w:rsidR="001F5C13" w:rsidRDefault="001F5C13" w:rsidP="00DB7197">
      <w:pPr>
        <w:spacing w:after="0" w:line="240" w:lineRule="auto"/>
        <w:jc w:val="both"/>
        <w:rPr>
          <w:rFonts w:ascii="Arial" w:hAnsi="Arial" w:cs="Arial"/>
          <w:sz w:val="20"/>
          <w:szCs w:val="20"/>
        </w:rPr>
      </w:pPr>
      <w:r w:rsidRPr="00A9706B">
        <w:rPr>
          <w:rFonts w:ascii="Arial" w:hAnsi="Arial" w:cs="Arial"/>
          <w:sz w:val="20"/>
          <w:szCs w:val="20"/>
        </w:rPr>
        <w:t>Contrato por virtud del cual, el arrendador se obliga a adquirir determinados bienes y a conceder su uso o goce temporal, a plazo forzoso, al arrendatario, quien podrá ser persona física o moral, obligándose este último a pagar como contraprestación, que se liquidará en pagos parciales, según se convenga, una cantidad en dinero determinada o determinable, que cubra el valor de adquisición de los bienes, las cargas financieras y los demás accesorios que se estipulen, y adoptar al vencimiento del contrato alguna de las opciones terminales a que se refiere el artículo 410 de esta Ley.</w:t>
      </w: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sz w:val="20"/>
          <w:szCs w:val="20"/>
        </w:rPr>
      </w:pPr>
    </w:p>
    <w:p w:rsidR="00DB7197" w:rsidRPr="00A9706B" w:rsidRDefault="00DB7197" w:rsidP="00DB7197">
      <w:pPr>
        <w:spacing w:after="0" w:line="240" w:lineRule="auto"/>
        <w:jc w:val="both"/>
        <w:rPr>
          <w:rFonts w:ascii="Arial" w:hAnsi="Arial" w:cs="Arial"/>
          <w:sz w:val="20"/>
          <w:szCs w:val="20"/>
        </w:rPr>
      </w:pPr>
    </w:p>
    <w:p w:rsid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lastRenderedPageBreak/>
        <w:t>11.-</w:t>
      </w:r>
      <w:r w:rsidR="001F5C13" w:rsidRPr="00A9706B">
        <w:rPr>
          <w:rFonts w:ascii="Arial" w:hAnsi="Arial" w:cs="Arial"/>
          <w:b/>
          <w:sz w:val="20"/>
          <w:szCs w:val="20"/>
        </w:rPr>
        <w:t xml:space="preserve">En qué consiste el contrato de Factoraje Financiero (LGTOC) </w:t>
      </w:r>
    </w:p>
    <w:p w:rsidR="001F5C13" w:rsidRPr="00A9706B" w:rsidRDefault="001F5C13" w:rsidP="00DB7197">
      <w:pPr>
        <w:spacing w:after="0" w:line="240" w:lineRule="auto"/>
        <w:jc w:val="both"/>
        <w:rPr>
          <w:rFonts w:ascii="Arial" w:hAnsi="Arial" w:cs="Arial"/>
          <w:b/>
          <w:sz w:val="20"/>
          <w:szCs w:val="20"/>
        </w:rPr>
      </w:pPr>
      <w:proofErr w:type="gramStart"/>
      <w:r w:rsidRPr="00A9706B">
        <w:rPr>
          <w:rFonts w:ascii="Arial" w:hAnsi="Arial" w:cs="Arial"/>
          <w:sz w:val="20"/>
          <w:szCs w:val="20"/>
        </w:rPr>
        <w:t>contrato</w:t>
      </w:r>
      <w:proofErr w:type="gramEnd"/>
      <w:r w:rsidRPr="00A9706B">
        <w:rPr>
          <w:rFonts w:ascii="Arial" w:hAnsi="Arial" w:cs="Arial"/>
          <w:sz w:val="20"/>
          <w:szCs w:val="20"/>
        </w:rPr>
        <w:t xml:space="preserve"> por virtud del cual, el </w:t>
      </w:r>
      <w:proofErr w:type="spellStart"/>
      <w:r w:rsidRPr="00A9706B">
        <w:rPr>
          <w:rFonts w:ascii="Arial" w:hAnsi="Arial" w:cs="Arial"/>
          <w:sz w:val="20"/>
          <w:szCs w:val="20"/>
        </w:rPr>
        <w:t>factorante</w:t>
      </w:r>
      <w:proofErr w:type="spellEnd"/>
      <w:r w:rsidRPr="00A9706B">
        <w:rPr>
          <w:rFonts w:ascii="Arial" w:hAnsi="Arial" w:cs="Arial"/>
          <w:sz w:val="20"/>
          <w:szCs w:val="20"/>
        </w:rPr>
        <w:t xml:space="preserve"> conviene con el </w:t>
      </w:r>
      <w:proofErr w:type="spellStart"/>
      <w:r w:rsidRPr="00A9706B">
        <w:rPr>
          <w:rFonts w:ascii="Arial" w:hAnsi="Arial" w:cs="Arial"/>
          <w:sz w:val="20"/>
          <w:szCs w:val="20"/>
        </w:rPr>
        <w:t>factorado</w:t>
      </w:r>
      <w:proofErr w:type="spellEnd"/>
      <w:r w:rsidRPr="00A9706B">
        <w:rPr>
          <w:rFonts w:ascii="Arial" w:hAnsi="Arial" w:cs="Arial"/>
          <w:sz w:val="20"/>
          <w:szCs w:val="20"/>
        </w:rPr>
        <w:t>, quien podrá ser persona física o moral, en adquirir derechos de crédito que este último tenga a su favor por un precio determinado o determinable, en moneda nacional o extranjera, independientemente de la fecha y la forma en que se pague, siendo posible pactar cualquiera de las modalidades siguientes:</w:t>
      </w:r>
    </w:p>
    <w:p w:rsidR="001F5C13" w:rsidRPr="001F5C13" w:rsidRDefault="001F5C13" w:rsidP="00DB7197">
      <w:pPr>
        <w:spacing w:after="0" w:line="240" w:lineRule="auto"/>
        <w:jc w:val="both"/>
        <w:rPr>
          <w:rFonts w:ascii="Arial" w:hAnsi="Arial" w:cs="Arial"/>
          <w:sz w:val="20"/>
          <w:szCs w:val="20"/>
        </w:rPr>
      </w:pPr>
      <w:r w:rsidRPr="00A9706B">
        <w:rPr>
          <w:rFonts w:ascii="Arial" w:hAnsi="Arial" w:cs="Arial"/>
          <w:sz w:val="20"/>
          <w:szCs w:val="20"/>
        </w:rPr>
        <w:t xml:space="preserve">Que el </w:t>
      </w:r>
      <w:proofErr w:type="spellStart"/>
      <w:r w:rsidRPr="00A9706B">
        <w:rPr>
          <w:rFonts w:ascii="Arial" w:hAnsi="Arial" w:cs="Arial"/>
          <w:sz w:val="20"/>
          <w:szCs w:val="20"/>
        </w:rPr>
        <w:t>factorado</w:t>
      </w:r>
      <w:proofErr w:type="spellEnd"/>
      <w:r w:rsidRPr="00A9706B">
        <w:rPr>
          <w:rFonts w:ascii="Arial" w:hAnsi="Arial" w:cs="Arial"/>
          <w:sz w:val="20"/>
          <w:szCs w:val="20"/>
        </w:rPr>
        <w:t xml:space="preserve"> no quede obligado a responder por el pago de los derechos de crédito transmitidos al </w:t>
      </w:r>
      <w:proofErr w:type="spellStart"/>
      <w:r w:rsidRPr="00A9706B">
        <w:rPr>
          <w:rFonts w:ascii="Arial" w:hAnsi="Arial" w:cs="Arial"/>
          <w:sz w:val="20"/>
          <w:szCs w:val="20"/>
        </w:rPr>
        <w:t>factorante</w:t>
      </w:r>
      <w:proofErr w:type="spellEnd"/>
      <w:r w:rsidRPr="00A9706B">
        <w:rPr>
          <w:rFonts w:ascii="Arial" w:hAnsi="Arial" w:cs="Arial"/>
          <w:sz w:val="20"/>
          <w:szCs w:val="20"/>
        </w:rPr>
        <w:t>; o</w:t>
      </w:r>
      <w:r w:rsidR="00A9706B">
        <w:rPr>
          <w:rFonts w:ascii="Arial" w:hAnsi="Arial" w:cs="Arial"/>
          <w:sz w:val="20"/>
          <w:szCs w:val="20"/>
        </w:rPr>
        <w:t xml:space="preserve"> </w:t>
      </w:r>
      <w:r w:rsidRPr="00A9706B">
        <w:rPr>
          <w:rFonts w:ascii="Arial" w:hAnsi="Arial" w:cs="Arial"/>
          <w:sz w:val="20"/>
          <w:szCs w:val="20"/>
        </w:rPr>
        <w:t xml:space="preserve">Que el </w:t>
      </w:r>
      <w:proofErr w:type="spellStart"/>
      <w:r w:rsidRPr="00A9706B">
        <w:rPr>
          <w:rFonts w:ascii="Arial" w:hAnsi="Arial" w:cs="Arial"/>
          <w:sz w:val="20"/>
          <w:szCs w:val="20"/>
        </w:rPr>
        <w:t>factorado</w:t>
      </w:r>
      <w:proofErr w:type="spellEnd"/>
      <w:r w:rsidRPr="00A9706B">
        <w:rPr>
          <w:rFonts w:ascii="Arial" w:hAnsi="Arial" w:cs="Arial"/>
          <w:sz w:val="20"/>
          <w:szCs w:val="20"/>
        </w:rPr>
        <w:t xml:space="preserve"> quede obligado solidariamente con el deudor, a responder del pago puntual y oportuno de los derechos de crédito transmitidos al </w:t>
      </w:r>
      <w:proofErr w:type="spellStart"/>
      <w:r w:rsidRPr="00A9706B">
        <w:rPr>
          <w:rFonts w:ascii="Arial" w:hAnsi="Arial" w:cs="Arial"/>
          <w:sz w:val="20"/>
          <w:szCs w:val="20"/>
        </w:rPr>
        <w:t>factorante</w:t>
      </w:r>
      <w:proofErr w:type="spellEnd"/>
      <w:r w:rsidRPr="00A9706B">
        <w:rPr>
          <w:rFonts w:ascii="Arial" w:hAnsi="Arial" w:cs="Arial"/>
          <w:sz w:val="20"/>
          <w:szCs w:val="20"/>
        </w:rPr>
        <w:t>.</w:t>
      </w:r>
    </w:p>
    <w:p w:rsidR="00DB7197"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12.-</w:t>
      </w:r>
      <w:r w:rsidR="001F5C13" w:rsidRPr="00A9706B">
        <w:rPr>
          <w:rFonts w:ascii="Arial" w:hAnsi="Arial" w:cs="Arial"/>
          <w:b/>
          <w:sz w:val="20"/>
          <w:szCs w:val="20"/>
        </w:rPr>
        <w:t xml:space="preserve">El </w:t>
      </w:r>
      <w:proofErr w:type="spellStart"/>
      <w:r w:rsidR="001F5C13" w:rsidRPr="00A9706B">
        <w:rPr>
          <w:rFonts w:ascii="Arial" w:hAnsi="Arial" w:cs="Arial"/>
          <w:b/>
          <w:sz w:val="20"/>
          <w:szCs w:val="20"/>
        </w:rPr>
        <w:t>factorante</w:t>
      </w:r>
      <w:proofErr w:type="spellEnd"/>
      <w:r w:rsidR="001F5C13" w:rsidRPr="00A9706B">
        <w:rPr>
          <w:rFonts w:ascii="Arial" w:hAnsi="Arial" w:cs="Arial"/>
          <w:b/>
          <w:sz w:val="20"/>
          <w:szCs w:val="20"/>
        </w:rPr>
        <w:t xml:space="preserve"> deberá notificar al deudor respectivo a transmisión de los derechos de crédito objeto de un contrato de factoraje financiero. A través de que formas debe realizarse la notificación respectiva (LGTOC)</w:t>
      </w:r>
    </w:p>
    <w:p w:rsidR="001F5C13" w:rsidRPr="00A9706B" w:rsidRDefault="001F5C13" w:rsidP="00DB7197">
      <w:pPr>
        <w:spacing w:after="0" w:line="240" w:lineRule="auto"/>
        <w:jc w:val="both"/>
        <w:rPr>
          <w:rFonts w:ascii="Arial" w:hAnsi="Arial" w:cs="Arial"/>
          <w:sz w:val="20"/>
          <w:szCs w:val="20"/>
        </w:rPr>
      </w:pPr>
      <w:r w:rsidRPr="00A9706B">
        <w:rPr>
          <w:rFonts w:ascii="Arial" w:hAnsi="Arial" w:cs="Arial"/>
          <w:sz w:val="20"/>
          <w:szCs w:val="20"/>
        </w:rPr>
        <w:t xml:space="preserve">I. Entrega del documento o documentos comprobatorios del derecho de crédito en los </w:t>
      </w:r>
      <w:r w:rsidR="00A9706B" w:rsidRPr="00A9706B">
        <w:rPr>
          <w:rFonts w:ascii="Arial" w:hAnsi="Arial" w:cs="Arial"/>
          <w:sz w:val="20"/>
          <w:szCs w:val="20"/>
        </w:rPr>
        <w:t xml:space="preserve"> </w:t>
      </w:r>
      <w:r w:rsidRPr="00A9706B">
        <w:rPr>
          <w:rFonts w:ascii="Arial" w:hAnsi="Arial" w:cs="Arial"/>
          <w:sz w:val="20"/>
          <w:szCs w:val="20"/>
        </w:rPr>
        <w:t xml:space="preserve">que conste el sello o leyenda relativa a la transmisión y acuse de recibo por el deudor mediante contraseña, </w:t>
      </w:r>
      <w:proofErr w:type="spellStart"/>
      <w:r w:rsidRPr="00A9706B">
        <w:rPr>
          <w:rFonts w:ascii="Arial" w:hAnsi="Arial" w:cs="Arial"/>
          <w:sz w:val="20"/>
          <w:szCs w:val="20"/>
        </w:rPr>
        <w:t>contrarrecibo</w:t>
      </w:r>
      <w:proofErr w:type="spellEnd"/>
      <w:r w:rsidRPr="00A9706B">
        <w:rPr>
          <w:rFonts w:ascii="Arial" w:hAnsi="Arial" w:cs="Arial"/>
          <w:sz w:val="20"/>
          <w:szCs w:val="20"/>
        </w:rPr>
        <w:t xml:space="preserve"> o cualquier otro signo inequívoco de recepción;</w:t>
      </w:r>
      <w:r w:rsidR="00A9706B">
        <w:rPr>
          <w:rFonts w:ascii="Arial" w:hAnsi="Arial" w:cs="Arial"/>
          <w:sz w:val="20"/>
          <w:szCs w:val="20"/>
        </w:rPr>
        <w:t xml:space="preserve"> </w:t>
      </w:r>
      <w:r w:rsidRPr="00A9706B">
        <w:rPr>
          <w:rFonts w:ascii="Arial" w:hAnsi="Arial" w:cs="Arial"/>
          <w:sz w:val="20"/>
          <w:szCs w:val="20"/>
        </w:rPr>
        <w:t xml:space="preserve">II. Comunicación por correo certificado con acuse de recibo, telegrama, télex o </w:t>
      </w:r>
      <w:proofErr w:type="spellStart"/>
      <w:r w:rsidRPr="00A9706B">
        <w:rPr>
          <w:rFonts w:ascii="Arial" w:hAnsi="Arial" w:cs="Arial"/>
          <w:sz w:val="20"/>
          <w:szCs w:val="20"/>
        </w:rPr>
        <w:t>telefacsímil</w:t>
      </w:r>
      <w:proofErr w:type="spellEnd"/>
      <w:r w:rsidRPr="00A9706B">
        <w:rPr>
          <w:rFonts w:ascii="Arial" w:hAnsi="Arial" w:cs="Arial"/>
          <w:sz w:val="20"/>
          <w:szCs w:val="20"/>
        </w:rPr>
        <w:t xml:space="preserve">, </w:t>
      </w:r>
      <w:proofErr w:type="spellStart"/>
      <w:r w:rsidRPr="00A9706B">
        <w:rPr>
          <w:rFonts w:ascii="Arial" w:hAnsi="Arial" w:cs="Arial"/>
          <w:sz w:val="20"/>
          <w:szCs w:val="20"/>
        </w:rPr>
        <w:t>contraseñados</w:t>
      </w:r>
      <w:proofErr w:type="spellEnd"/>
      <w:r w:rsidRPr="00A9706B">
        <w:rPr>
          <w:rFonts w:ascii="Arial" w:hAnsi="Arial" w:cs="Arial"/>
          <w:sz w:val="20"/>
          <w:szCs w:val="20"/>
        </w:rPr>
        <w:t xml:space="preserve"> que deje evidencia de su recepción por parte del deudor;</w:t>
      </w:r>
      <w:r w:rsidR="00A9706B">
        <w:rPr>
          <w:rFonts w:ascii="Arial" w:hAnsi="Arial" w:cs="Arial"/>
          <w:sz w:val="20"/>
          <w:szCs w:val="20"/>
        </w:rPr>
        <w:t xml:space="preserve"> </w:t>
      </w:r>
      <w:r w:rsidRPr="00A9706B">
        <w:rPr>
          <w:rFonts w:ascii="Arial" w:hAnsi="Arial" w:cs="Arial"/>
          <w:sz w:val="20"/>
          <w:szCs w:val="20"/>
        </w:rPr>
        <w:t>III. Notificación realizada por fedatario público; y</w:t>
      </w:r>
      <w:r w:rsidR="00A9706B">
        <w:rPr>
          <w:rFonts w:ascii="Arial" w:hAnsi="Arial" w:cs="Arial"/>
          <w:sz w:val="20"/>
          <w:szCs w:val="20"/>
        </w:rPr>
        <w:t xml:space="preserve"> </w:t>
      </w:r>
      <w:r w:rsidRPr="00A9706B">
        <w:rPr>
          <w:rFonts w:ascii="Arial" w:hAnsi="Arial" w:cs="Arial"/>
          <w:sz w:val="20"/>
          <w:szCs w:val="20"/>
        </w:rPr>
        <w:t>IV. Mensajes de datos, en los términos del Título Segundo del Libro Segundo del Código de Comercio.</w:t>
      </w:r>
    </w:p>
    <w:p w:rsidR="00DB7197" w:rsidRDefault="00DB7197" w:rsidP="00DB7197">
      <w:pPr>
        <w:spacing w:after="0" w:line="240" w:lineRule="auto"/>
        <w:jc w:val="both"/>
        <w:rPr>
          <w:rFonts w:ascii="Arial" w:hAnsi="Arial" w:cs="Arial"/>
          <w:b/>
          <w:sz w:val="20"/>
          <w:szCs w:val="20"/>
        </w:rPr>
      </w:pPr>
    </w:p>
    <w:p w:rsid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13.-</w:t>
      </w:r>
      <w:r w:rsidR="001F5C13" w:rsidRPr="00A9706B">
        <w:rPr>
          <w:rFonts w:ascii="Arial" w:hAnsi="Arial" w:cs="Arial"/>
          <w:b/>
          <w:sz w:val="20"/>
          <w:szCs w:val="20"/>
        </w:rPr>
        <w:t xml:space="preserve">Como será determinado el capital mínimo suscrito y pagado para las uniones de </w:t>
      </w:r>
      <w:proofErr w:type="gramStart"/>
      <w:r w:rsidR="001F5C13" w:rsidRPr="00A9706B">
        <w:rPr>
          <w:rFonts w:ascii="Arial" w:hAnsi="Arial" w:cs="Arial"/>
          <w:b/>
          <w:sz w:val="20"/>
          <w:szCs w:val="20"/>
        </w:rPr>
        <w:t>crédito(</w:t>
      </w:r>
      <w:proofErr w:type="gramEnd"/>
      <w:r w:rsidR="001F5C13" w:rsidRPr="00A9706B">
        <w:rPr>
          <w:rFonts w:ascii="Arial" w:hAnsi="Arial" w:cs="Arial"/>
          <w:b/>
          <w:sz w:val="20"/>
          <w:szCs w:val="20"/>
        </w:rPr>
        <w:t>LUC) art 18</w:t>
      </w:r>
    </w:p>
    <w:p w:rsidR="001F5C13" w:rsidRPr="00A9706B" w:rsidRDefault="001F5C13" w:rsidP="00DB7197">
      <w:pPr>
        <w:spacing w:after="0" w:line="240" w:lineRule="auto"/>
        <w:jc w:val="both"/>
        <w:rPr>
          <w:rFonts w:ascii="Arial" w:hAnsi="Arial" w:cs="Arial"/>
          <w:b/>
          <w:sz w:val="20"/>
          <w:szCs w:val="20"/>
        </w:rPr>
      </w:pPr>
      <w:r w:rsidRPr="00A9706B">
        <w:rPr>
          <w:rFonts w:ascii="Arial" w:hAnsi="Arial" w:cs="Arial"/>
          <w:sz w:val="20"/>
          <w:szCs w:val="20"/>
        </w:rPr>
        <w:t>De acuerdo con el nivel de operaciones</w:t>
      </w:r>
    </w:p>
    <w:p w:rsidR="00DB7197" w:rsidRDefault="00DB7197" w:rsidP="00DB7197">
      <w:pPr>
        <w:spacing w:after="0" w:line="240" w:lineRule="auto"/>
        <w:jc w:val="both"/>
        <w:rPr>
          <w:rFonts w:ascii="Arial" w:hAnsi="Arial" w:cs="Arial"/>
          <w:sz w:val="20"/>
          <w:szCs w:val="20"/>
        </w:rPr>
      </w:pPr>
    </w:p>
    <w:p w:rsidR="001F5C13" w:rsidRPr="00A9706B" w:rsidRDefault="00A9706B" w:rsidP="00DB7197">
      <w:pPr>
        <w:spacing w:after="0" w:line="240" w:lineRule="auto"/>
        <w:jc w:val="both"/>
        <w:rPr>
          <w:rFonts w:ascii="Arial" w:hAnsi="Arial" w:cs="Arial"/>
          <w:b/>
          <w:sz w:val="20"/>
          <w:szCs w:val="20"/>
        </w:rPr>
      </w:pPr>
      <w:r>
        <w:rPr>
          <w:rFonts w:ascii="Arial" w:hAnsi="Arial" w:cs="Arial"/>
          <w:sz w:val="20"/>
          <w:szCs w:val="20"/>
        </w:rPr>
        <w:t>14.-</w:t>
      </w:r>
      <w:r w:rsidR="001F5C13" w:rsidRPr="00A9706B">
        <w:rPr>
          <w:rFonts w:ascii="Arial" w:hAnsi="Arial" w:cs="Arial"/>
          <w:b/>
          <w:sz w:val="20"/>
          <w:szCs w:val="20"/>
        </w:rPr>
        <w:t>Como será integrado el Consejo de Administración de las Uniones de Crédito (LUC) art 25</w:t>
      </w:r>
    </w:p>
    <w:p w:rsidR="001F5C13" w:rsidRPr="00A9706B" w:rsidRDefault="001F5C13"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15.-</w:t>
      </w:r>
      <w:r w:rsidR="001F5C13" w:rsidRPr="00A9706B">
        <w:rPr>
          <w:rFonts w:ascii="Arial" w:hAnsi="Arial" w:cs="Arial"/>
          <w:b/>
          <w:sz w:val="20"/>
          <w:szCs w:val="20"/>
        </w:rPr>
        <w:t>Menciona por lo menos 5 operaciones que pueden realizar las Uniones de Crédito (LUC) art 40</w:t>
      </w:r>
    </w:p>
    <w:p w:rsidR="001F5C13" w:rsidRPr="00A9706B" w:rsidRDefault="001F5C13" w:rsidP="00DB7197">
      <w:pPr>
        <w:spacing w:after="0" w:line="240" w:lineRule="auto"/>
        <w:jc w:val="both"/>
        <w:rPr>
          <w:rFonts w:ascii="Arial" w:hAnsi="Arial" w:cs="Arial"/>
          <w:sz w:val="20"/>
          <w:szCs w:val="20"/>
        </w:rPr>
      </w:pPr>
      <w:r w:rsidRPr="00A9706B">
        <w:rPr>
          <w:rFonts w:ascii="Arial" w:hAnsi="Arial" w:cs="Arial"/>
          <w:sz w:val="20"/>
          <w:szCs w:val="20"/>
        </w:rPr>
        <w:t>I.    Recibir préstamos y créditos exclusivamente de sus socios, de fondos privados de financiamiento e inversión, de instituciones de crédito, de seguros y d fianzas, de otras uniones o de entidades financieras del exterior, así como de sus proveedores. Las operaciones a que se refiere esta fracción que se garanticen con hipoteca de propiedades de las uniones, deberán acordarse previamente en asamblea general extraordinaria de accionistas por votación que represente por lo menos el sesenta y seis por ciento de su capital pagado, salvo que en sus estatutos tengan establecido un porcentaje más elevado;</w:t>
      </w:r>
      <w:r w:rsidR="00A9706B">
        <w:rPr>
          <w:rFonts w:ascii="Arial" w:hAnsi="Arial" w:cs="Arial"/>
          <w:sz w:val="20"/>
          <w:szCs w:val="20"/>
        </w:rPr>
        <w:t xml:space="preserve"> </w:t>
      </w:r>
      <w:r w:rsidRPr="00A9706B">
        <w:rPr>
          <w:rFonts w:ascii="Arial" w:hAnsi="Arial" w:cs="Arial"/>
          <w:sz w:val="20"/>
          <w:szCs w:val="20"/>
        </w:rPr>
        <w:t>II. Recibir financiamientos de fondos aportados a fideicomisos constituidos por los gobiernos federal, estatales y del Distrito Federal, de conformidad con lo establecido en las reglas de operación que los mismos establezcan;</w:t>
      </w:r>
      <w:r w:rsidR="00A9706B">
        <w:rPr>
          <w:rFonts w:ascii="Arial" w:hAnsi="Arial" w:cs="Arial"/>
          <w:sz w:val="20"/>
          <w:szCs w:val="20"/>
        </w:rPr>
        <w:t xml:space="preserve"> </w:t>
      </w:r>
      <w:r w:rsidRPr="00A9706B">
        <w:rPr>
          <w:rFonts w:ascii="Arial" w:hAnsi="Arial" w:cs="Arial"/>
          <w:sz w:val="20"/>
          <w:szCs w:val="20"/>
        </w:rPr>
        <w:t>III. Emitir valores, para su colocación entre el gran público inversionista, excepto obligaciones subordinadas de cualquier tipo;</w:t>
      </w:r>
    </w:p>
    <w:p w:rsidR="00DB7197"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16.-</w:t>
      </w:r>
      <w:r w:rsidR="001F5C13" w:rsidRPr="00A9706B">
        <w:rPr>
          <w:rFonts w:ascii="Arial" w:hAnsi="Arial" w:cs="Arial"/>
          <w:b/>
          <w:sz w:val="20"/>
          <w:szCs w:val="20"/>
        </w:rPr>
        <w:t xml:space="preserve">Cuando a juicio de la Comisión Nacional Bancaria y de Valores existan  irregularidades en las Uniones de Crédito que afecten su estabilidad o solvencia y pongan en peligro los intereses de los socios o acreedores, que deberá hacer el Presidente de dicha Comisión (LUC)  art </w:t>
      </w:r>
    </w:p>
    <w:p w:rsidR="001F5C13" w:rsidRPr="00A9706B" w:rsidRDefault="001F5C13" w:rsidP="00DB7197">
      <w:pPr>
        <w:spacing w:after="0" w:line="240" w:lineRule="auto"/>
        <w:ind w:left="720"/>
        <w:jc w:val="both"/>
        <w:rPr>
          <w:rFonts w:ascii="Arial" w:hAnsi="Arial" w:cs="Arial"/>
          <w:sz w:val="20"/>
          <w:szCs w:val="20"/>
        </w:rPr>
      </w:pPr>
      <w:r w:rsidRPr="00A9706B">
        <w:rPr>
          <w:rFonts w:ascii="Arial" w:hAnsi="Arial" w:cs="Arial"/>
          <w:sz w:val="20"/>
          <w:szCs w:val="20"/>
        </w:rPr>
        <w:t>Art 46, creo</w:t>
      </w: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lastRenderedPageBreak/>
        <w:t>17.-</w:t>
      </w:r>
      <w:r w:rsidR="001F5C13" w:rsidRPr="00A9706B">
        <w:rPr>
          <w:rFonts w:ascii="Arial" w:hAnsi="Arial" w:cs="Arial"/>
          <w:b/>
          <w:sz w:val="20"/>
          <w:szCs w:val="20"/>
        </w:rPr>
        <w:t>Para las Organizaciones Auxiliares de Crédito que documentos serán títulos ejecutivos mercantiles sin necesidad de reconocimiento de firma ni de otro requisito alguno (LGOAAC)</w:t>
      </w:r>
    </w:p>
    <w:p w:rsidR="001F5C13" w:rsidRPr="00A9706B" w:rsidRDefault="001F5C13" w:rsidP="00DB7197">
      <w:pPr>
        <w:spacing w:after="0" w:line="240" w:lineRule="auto"/>
        <w:jc w:val="both"/>
        <w:rPr>
          <w:rFonts w:ascii="Arial" w:hAnsi="Arial" w:cs="Arial"/>
          <w:sz w:val="20"/>
          <w:szCs w:val="20"/>
        </w:rPr>
      </w:pPr>
      <w:r w:rsidRPr="00A9706B">
        <w:rPr>
          <w:rFonts w:ascii="Arial" w:hAnsi="Arial" w:cs="Arial"/>
          <w:sz w:val="20"/>
          <w:szCs w:val="20"/>
        </w:rPr>
        <w:t>Art 48  El contrato o documento en que se hagan constar los créditos que otorguen las organizaciones auxiliares del crédito, junto con la certificación del estado de cuenta</w:t>
      </w:r>
    </w:p>
    <w:p w:rsidR="001F5C13" w:rsidRPr="001F5C13" w:rsidRDefault="001F5C13" w:rsidP="00DB7197">
      <w:pPr>
        <w:pStyle w:val="Prrafodelista"/>
        <w:spacing w:after="0" w:line="240" w:lineRule="auto"/>
        <w:ind w:left="0"/>
        <w:jc w:val="both"/>
        <w:rPr>
          <w:rFonts w:ascii="Arial" w:hAnsi="Arial" w:cs="Arial"/>
          <w:sz w:val="20"/>
          <w:szCs w:val="20"/>
        </w:rPr>
      </w:pPr>
    </w:p>
    <w:p w:rsidR="001F5C13" w:rsidRPr="00A9706B" w:rsidRDefault="00A9706B" w:rsidP="00DB7197">
      <w:pPr>
        <w:pStyle w:val="Prrafodelista"/>
        <w:spacing w:after="0" w:line="240" w:lineRule="auto"/>
        <w:ind w:left="0"/>
        <w:jc w:val="both"/>
        <w:rPr>
          <w:rFonts w:ascii="Arial" w:hAnsi="Arial" w:cs="Arial"/>
          <w:b/>
          <w:sz w:val="20"/>
          <w:szCs w:val="20"/>
        </w:rPr>
      </w:pPr>
      <w:r>
        <w:rPr>
          <w:rFonts w:ascii="Arial" w:hAnsi="Arial" w:cs="Arial"/>
          <w:b/>
          <w:sz w:val="20"/>
          <w:szCs w:val="20"/>
        </w:rPr>
        <w:t>18.-</w:t>
      </w:r>
      <w:r w:rsidR="001F5C13" w:rsidRPr="00A9706B">
        <w:rPr>
          <w:rFonts w:ascii="Arial" w:hAnsi="Arial" w:cs="Arial"/>
          <w:b/>
          <w:sz w:val="20"/>
          <w:szCs w:val="20"/>
        </w:rPr>
        <w:t>En qué casos no se requiere autorización de la Secretaria de Hacienda y Crédito Público para la realizar operaciones de compra, venta y cambio de divisas. (LGOAAC) Art 81A</w:t>
      </w:r>
    </w:p>
    <w:p w:rsidR="001F5C13" w:rsidRPr="00A9706B" w:rsidRDefault="001F5C13" w:rsidP="00DB7197">
      <w:pPr>
        <w:spacing w:after="0" w:line="240" w:lineRule="auto"/>
        <w:jc w:val="both"/>
        <w:rPr>
          <w:rFonts w:ascii="Arial" w:hAnsi="Arial" w:cs="Arial"/>
          <w:sz w:val="20"/>
          <w:szCs w:val="20"/>
        </w:rPr>
      </w:pPr>
      <w:r w:rsidRPr="00A9706B">
        <w:rPr>
          <w:rFonts w:ascii="Arial" w:hAnsi="Arial" w:cs="Arial"/>
          <w:b/>
          <w:bCs/>
          <w:sz w:val="20"/>
          <w:szCs w:val="20"/>
        </w:rPr>
        <w:t xml:space="preserve">I. </w:t>
      </w:r>
      <w:r w:rsidRPr="00A9706B">
        <w:rPr>
          <w:rFonts w:ascii="Arial" w:hAnsi="Arial" w:cs="Arial"/>
          <w:sz w:val="20"/>
          <w:szCs w:val="20"/>
        </w:rPr>
        <w:t xml:space="preserve">Compra y venta de billetes así como piezas acuñadas y metales comunes, con curso legal en el país de emisión, hasta por un monto equivalente no superior a </w:t>
      </w:r>
      <w:r w:rsidR="00A9706B">
        <w:rPr>
          <w:rFonts w:ascii="Arial" w:hAnsi="Arial" w:cs="Arial"/>
          <w:sz w:val="20"/>
          <w:szCs w:val="20"/>
        </w:rPr>
        <w:t xml:space="preserve">diez mil dólares diarios de los </w:t>
      </w:r>
      <w:r w:rsidRPr="00A9706B">
        <w:rPr>
          <w:rFonts w:ascii="Arial" w:hAnsi="Arial" w:cs="Arial"/>
          <w:sz w:val="20"/>
          <w:szCs w:val="20"/>
        </w:rPr>
        <w:t>Estados Unidos de América por cada cliente;</w:t>
      </w:r>
      <w:r w:rsidR="00A9706B">
        <w:rPr>
          <w:rFonts w:ascii="Arial" w:hAnsi="Arial" w:cs="Arial"/>
          <w:sz w:val="20"/>
          <w:szCs w:val="20"/>
        </w:rPr>
        <w:t xml:space="preserve"> </w:t>
      </w:r>
      <w:r w:rsidRPr="00A9706B">
        <w:rPr>
          <w:rFonts w:ascii="Arial" w:hAnsi="Arial" w:cs="Arial"/>
          <w:b/>
          <w:bCs/>
          <w:sz w:val="20"/>
          <w:szCs w:val="20"/>
        </w:rPr>
        <w:t xml:space="preserve">II. </w:t>
      </w:r>
      <w:r w:rsidRPr="00A9706B">
        <w:rPr>
          <w:rFonts w:ascii="Arial" w:hAnsi="Arial" w:cs="Arial"/>
          <w:sz w:val="20"/>
          <w:szCs w:val="20"/>
        </w:rPr>
        <w:t>Compra y venta de cheques de viajero denominados en moneda extranjera, hasta por un monto equivalente no superior a diez mil dólares diarios de los Estados Unidos de América por cada cliente;</w:t>
      </w:r>
      <w:r w:rsidR="00A9706B">
        <w:rPr>
          <w:rFonts w:ascii="Arial" w:hAnsi="Arial" w:cs="Arial"/>
          <w:sz w:val="20"/>
          <w:szCs w:val="20"/>
        </w:rPr>
        <w:t xml:space="preserve"> </w:t>
      </w:r>
      <w:r w:rsidRPr="00A9706B">
        <w:rPr>
          <w:rFonts w:ascii="Arial" w:hAnsi="Arial" w:cs="Arial"/>
          <w:b/>
          <w:bCs/>
          <w:sz w:val="20"/>
          <w:szCs w:val="20"/>
        </w:rPr>
        <w:t xml:space="preserve">III. </w:t>
      </w:r>
      <w:r w:rsidRPr="00A9706B">
        <w:rPr>
          <w:rFonts w:ascii="Arial" w:hAnsi="Arial" w:cs="Arial"/>
          <w:sz w:val="20"/>
          <w:szCs w:val="20"/>
        </w:rPr>
        <w:t>Compra y venta de piezas metálicas acuñadas en forma de moneda, hasta por un monto equivalente no superior a diez mil dólares diarios de los Estados Unidos de América por cada cliente, y</w:t>
      </w:r>
      <w:r w:rsidR="00A9706B">
        <w:rPr>
          <w:rFonts w:ascii="Arial" w:hAnsi="Arial" w:cs="Arial"/>
          <w:sz w:val="20"/>
          <w:szCs w:val="20"/>
        </w:rPr>
        <w:t xml:space="preserve"> </w:t>
      </w:r>
      <w:r w:rsidRPr="00A9706B">
        <w:rPr>
          <w:rFonts w:ascii="Arial" w:hAnsi="Arial" w:cs="Arial"/>
          <w:b/>
          <w:bCs/>
          <w:sz w:val="20"/>
          <w:szCs w:val="20"/>
        </w:rPr>
        <w:t xml:space="preserve">IV. </w:t>
      </w:r>
      <w:r w:rsidRPr="00A9706B">
        <w:rPr>
          <w:rFonts w:ascii="Arial" w:hAnsi="Arial" w:cs="Arial"/>
          <w:sz w:val="20"/>
          <w:szCs w:val="20"/>
        </w:rPr>
        <w:t xml:space="preserve">Compra de documentos a la vista denominados y pagaderos en moneda extranjera, a cargo de entidades financieras hasta por un monto equivalente no superior a diez mil dólares diarios de los Estados Unidos de América por cada cliente. Estos documentos sólo podrán venderlos a las instituciones de crédito y casas de cambio. </w:t>
      </w:r>
    </w:p>
    <w:p w:rsidR="00DB7197" w:rsidRDefault="00DB7197" w:rsidP="00DB7197">
      <w:pPr>
        <w:spacing w:after="0" w:line="240" w:lineRule="auto"/>
        <w:jc w:val="both"/>
        <w:rPr>
          <w:rFonts w:ascii="Arial" w:hAnsi="Arial" w:cs="Arial"/>
          <w:sz w:val="20"/>
          <w:szCs w:val="20"/>
        </w:rPr>
      </w:pPr>
    </w:p>
    <w:p w:rsidR="001F5C13" w:rsidRPr="00A9706B" w:rsidRDefault="00A9706B" w:rsidP="00DB7197">
      <w:pPr>
        <w:spacing w:after="0" w:line="240" w:lineRule="auto"/>
        <w:jc w:val="both"/>
        <w:rPr>
          <w:rFonts w:ascii="Arial" w:hAnsi="Arial" w:cs="Arial"/>
          <w:sz w:val="20"/>
          <w:szCs w:val="20"/>
        </w:rPr>
      </w:pPr>
      <w:r>
        <w:rPr>
          <w:rFonts w:ascii="Arial" w:hAnsi="Arial" w:cs="Arial"/>
          <w:sz w:val="20"/>
          <w:szCs w:val="20"/>
        </w:rPr>
        <w:t>19.-</w:t>
      </w:r>
      <w:r w:rsidR="001F5C13" w:rsidRPr="00A9706B">
        <w:rPr>
          <w:rFonts w:ascii="Arial" w:hAnsi="Arial" w:cs="Arial"/>
          <w:b/>
          <w:sz w:val="20"/>
          <w:szCs w:val="20"/>
        </w:rPr>
        <w:t xml:space="preserve">Cuál es el objeto social de las casas de </w:t>
      </w:r>
      <w:proofErr w:type="gramStart"/>
      <w:r w:rsidR="001F5C13" w:rsidRPr="00A9706B">
        <w:rPr>
          <w:rFonts w:ascii="Arial" w:hAnsi="Arial" w:cs="Arial"/>
          <w:b/>
          <w:sz w:val="20"/>
          <w:szCs w:val="20"/>
        </w:rPr>
        <w:t>cambio(</w:t>
      </w:r>
      <w:proofErr w:type="gramEnd"/>
      <w:r w:rsidR="001F5C13" w:rsidRPr="00A9706B">
        <w:rPr>
          <w:rFonts w:ascii="Arial" w:hAnsi="Arial" w:cs="Arial"/>
          <w:b/>
          <w:sz w:val="20"/>
          <w:szCs w:val="20"/>
        </w:rPr>
        <w:t>LGOAAC</w:t>
      </w:r>
      <w:r w:rsidR="001F5C13" w:rsidRPr="00A9706B">
        <w:rPr>
          <w:rFonts w:ascii="Arial" w:hAnsi="Arial" w:cs="Arial"/>
          <w:sz w:val="20"/>
          <w:szCs w:val="20"/>
        </w:rPr>
        <w:t>)</w:t>
      </w:r>
    </w:p>
    <w:p w:rsidR="001F5C13" w:rsidRPr="00A9706B" w:rsidRDefault="001F5C13" w:rsidP="00DB7197">
      <w:pPr>
        <w:spacing w:after="0" w:line="240" w:lineRule="auto"/>
        <w:jc w:val="both"/>
        <w:rPr>
          <w:rFonts w:ascii="Arial" w:hAnsi="Arial" w:cs="Arial"/>
          <w:sz w:val="20"/>
          <w:szCs w:val="20"/>
        </w:rPr>
      </w:pPr>
      <w:r w:rsidRPr="00A9706B">
        <w:rPr>
          <w:rFonts w:ascii="Arial" w:hAnsi="Arial" w:cs="Arial"/>
          <w:sz w:val="20"/>
          <w:szCs w:val="20"/>
        </w:rPr>
        <w:t xml:space="preserve">Art 82 </w:t>
      </w: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1F5C13" w:rsidRPr="00A9706B" w:rsidRDefault="00A9706B" w:rsidP="00DB7197">
      <w:pPr>
        <w:spacing w:after="0" w:line="240" w:lineRule="auto"/>
        <w:jc w:val="both"/>
        <w:rPr>
          <w:rFonts w:ascii="Arial" w:hAnsi="Arial" w:cs="Arial"/>
          <w:b/>
          <w:sz w:val="20"/>
          <w:szCs w:val="20"/>
        </w:rPr>
      </w:pPr>
      <w:r w:rsidRPr="00A9706B">
        <w:rPr>
          <w:rFonts w:ascii="Arial" w:hAnsi="Arial" w:cs="Arial"/>
          <w:b/>
          <w:sz w:val="20"/>
          <w:szCs w:val="20"/>
        </w:rPr>
        <w:t xml:space="preserve">20.- </w:t>
      </w:r>
      <w:r w:rsidR="001F5C13" w:rsidRPr="00A9706B">
        <w:rPr>
          <w:rFonts w:ascii="Arial" w:hAnsi="Arial" w:cs="Arial"/>
          <w:b/>
          <w:sz w:val="20"/>
          <w:szCs w:val="20"/>
        </w:rPr>
        <w:t>Cuando el Banco de México podrá ordenar la suspensión de las actividades de las casas de cambio</w:t>
      </w:r>
      <w:proofErr w:type="gramStart"/>
      <w:r w:rsidR="001F5C13" w:rsidRPr="00A9706B">
        <w:rPr>
          <w:rFonts w:ascii="Arial" w:hAnsi="Arial" w:cs="Arial"/>
          <w:b/>
          <w:sz w:val="20"/>
          <w:szCs w:val="20"/>
        </w:rPr>
        <w:t>.(</w:t>
      </w:r>
      <w:proofErr w:type="gramEnd"/>
      <w:r w:rsidR="001F5C13" w:rsidRPr="00A9706B">
        <w:rPr>
          <w:rFonts w:ascii="Arial" w:hAnsi="Arial" w:cs="Arial"/>
          <w:b/>
          <w:sz w:val="20"/>
          <w:szCs w:val="20"/>
        </w:rPr>
        <w:t>LGOAAC)</w:t>
      </w:r>
    </w:p>
    <w:p w:rsidR="001F5C13" w:rsidRPr="001F5C13" w:rsidRDefault="001F5C13" w:rsidP="00DB7197">
      <w:pPr>
        <w:pStyle w:val="Prrafodelista"/>
        <w:numPr>
          <w:ilvl w:val="0"/>
          <w:numId w:val="2"/>
        </w:numPr>
        <w:spacing w:after="0" w:line="240" w:lineRule="auto"/>
        <w:jc w:val="both"/>
        <w:rPr>
          <w:rFonts w:ascii="Arial" w:hAnsi="Arial" w:cs="Arial"/>
          <w:sz w:val="20"/>
          <w:szCs w:val="20"/>
        </w:rPr>
      </w:pPr>
      <w:r w:rsidRPr="001F5C13">
        <w:rPr>
          <w:rFonts w:ascii="Arial" w:hAnsi="Arial" w:cs="Arial"/>
          <w:sz w:val="20"/>
          <w:szCs w:val="20"/>
        </w:rPr>
        <w:t>Art 86-A</w:t>
      </w:r>
    </w:p>
    <w:p w:rsidR="001F5C13" w:rsidRPr="00DB7197" w:rsidRDefault="001F5C13" w:rsidP="00DB7197">
      <w:pPr>
        <w:pStyle w:val="Prrafodelista"/>
        <w:spacing w:after="0" w:line="240" w:lineRule="auto"/>
        <w:ind w:left="1080"/>
        <w:jc w:val="both"/>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p>
    <w:p w:rsidR="001F5C13" w:rsidRPr="00DB7197" w:rsidRDefault="00A9706B" w:rsidP="00DB7197">
      <w:pPr>
        <w:spacing w:after="0" w:line="240" w:lineRule="auto"/>
        <w:jc w:val="both"/>
        <w:rPr>
          <w:rFonts w:ascii="Arial" w:hAnsi="Arial" w:cs="Arial"/>
          <w:b/>
          <w:sz w:val="20"/>
          <w:szCs w:val="20"/>
        </w:rPr>
      </w:pPr>
      <w:r w:rsidRPr="00DB7197">
        <w:rPr>
          <w:rFonts w:ascii="Arial" w:hAnsi="Arial" w:cs="Arial"/>
          <w:b/>
          <w:sz w:val="20"/>
          <w:szCs w:val="20"/>
        </w:rPr>
        <w:t>21.-</w:t>
      </w:r>
      <w:r w:rsidR="001F5C13" w:rsidRPr="00DB7197">
        <w:rPr>
          <w:rFonts w:ascii="Arial" w:hAnsi="Arial" w:cs="Arial"/>
          <w:b/>
          <w:sz w:val="20"/>
          <w:szCs w:val="20"/>
        </w:rPr>
        <w:t>Cuál es el objeto de las Sociedades Financieras de Objeto múltiple reguladas (LGOAAC)</w:t>
      </w:r>
    </w:p>
    <w:p w:rsidR="001F5C13" w:rsidRPr="001F5C13" w:rsidRDefault="001F5C13" w:rsidP="00DB7197">
      <w:pPr>
        <w:pStyle w:val="Prrafodelista"/>
        <w:numPr>
          <w:ilvl w:val="0"/>
          <w:numId w:val="2"/>
        </w:numPr>
        <w:spacing w:after="0" w:line="240" w:lineRule="auto"/>
        <w:jc w:val="both"/>
        <w:rPr>
          <w:rFonts w:ascii="Arial" w:hAnsi="Arial" w:cs="Arial"/>
          <w:sz w:val="20"/>
          <w:szCs w:val="20"/>
        </w:rPr>
      </w:pPr>
      <w:r w:rsidRPr="001F5C13">
        <w:rPr>
          <w:rFonts w:ascii="Arial" w:hAnsi="Arial" w:cs="Arial"/>
          <w:sz w:val="20"/>
          <w:szCs w:val="20"/>
        </w:rPr>
        <w:t>87 – B</w:t>
      </w:r>
    </w:p>
    <w:p w:rsidR="001F5C13" w:rsidRPr="00DB7197" w:rsidRDefault="001F5C13" w:rsidP="00DB7197">
      <w:pPr>
        <w:pStyle w:val="Prrafodelista"/>
        <w:spacing w:after="0" w:line="240" w:lineRule="auto"/>
        <w:ind w:left="1080"/>
        <w:jc w:val="both"/>
        <w:rPr>
          <w:rFonts w:ascii="Arial" w:hAnsi="Arial" w:cs="Arial"/>
          <w:b/>
          <w:sz w:val="20"/>
          <w:szCs w:val="20"/>
        </w:rPr>
      </w:pPr>
    </w:p>
    <w:p w:rsidR="001F5C13" w:rsidRPr="00DB7197" w:rsidRDefault="00A9706B" w:rsidP="00DB7197">
      <w:pPr>
        <w:spacing w:after="0" w:line="240" w:lineRule="auto"/>
        <w:jc w:val="both"/>
        <w:rPr>
          <w:rFonts w:ascii="Arial" w:hAnsi="Arial" w:cs="Arial"/>
          <w:b/>
          <w:sz w:val="20"/>
          <w:szCs w:val="20"/>
        </w:rPr>
      </w:pPr>
      <w:r w:rsidRPr="00DB7197">
        <w:rPr>
          <w:rFonts w:ascii="Arial" w:hAnsi="Arial" w:cs="Arial"/>
          <w:b/>
          <w:sz w:val="20"/>
          <w:szCs w:val="20"/>
        </w:rPr>
        <w:t>22.-</w:t>
      </w:r>
      <w:r w:rsidR="001F5C13" w:rsidRPr="00DB7197">
        <w:rPr>
          <w:rFonts w:ascii="Arial" w:hAnsi="Arial" w:cs="Arial"/>
          <w:b/>
          <w:sz w:val="20"/>
          <w:szCs w:val="20"/>
        </w:rPr>
        <w:t>Cuáles son las Sociedades Financieras de Objeto múltiple reguladas (LGOAAC)</w:t>
      </w:r>
    </w:p>
    <w:p w:rsidR="001F5C13" w:rsidRPr="001F5C13" w:rsidRDefault="001F5C13" w:rsidP="00DB7197">
      <w:pPr>
        <w:pStyle w:val="Prrafodelista"/>
        <w:numPr>
          <w:ilvl w:val="0"/>
          <w:numId w:val="2"/>
        </w:numPr>
        <w:spacing w:after="0" w:line="240" w:lineRule="auto"/>
        <w:jc w:val="both"/>
        <w:rPr>
          <w:rFonts w:ascii="Arial" w:hAnsi="Arial" w:cs="Arial"/>
          <w:sz w:val="20"/>
          <w:szCs w:val="20"/>
        </w:rPr>
      </w:pPr>
      <w:r w:rsidRPr="001F5C13">
        <w:rPr>
          <w:rFonts w:ascii="Arial" w:hAnsi="Arial" w:cs="Arial"/>
          <w:sz w:val="20"/>
          <w:szCs w:val="20"/>
        </w:rPr>
        <w:t>87 – B</w:t>
      </w:r>
    </w:p>
    <w:p w:rsidR="001F5C13" w:rsidRDefault="001F5C13" w:rsidP="00DB7197">
      <w:pPr>
        <w:pStyle w:val="Prrafodelista"/>
        <w:spacing w:after="0" w:line="240" w:lineRule="auto"/>
        <w:ind w:left="1080"/>
        <w:jc w:val="both"/>
        <w:rPr>
          <w:rFonts w:ascii="Arial" w:hAnsi="Arial" w:cs="Arial"/>
          <w:sz w:val="20"/>
          <w:szCs w:val="20"/>
        </w:rPr>
      </w:pPr>
    </w:p>
    <w:p w:rsidR="00DB7197" w:rsidRDefault="00DB7197" w:rsidP="00DB7197">
      <w:pPr>
        <w:pStyle w:val="Prrafodelista"/>
        <w:spacing w:after="0" w:line="240" w:lineRule="auto"/>
        <w:ind w:left="1080"/>
        <w:jc w:val="both"/>
        <w:rPr>
          <w:rFonts w:ascii="Arial" w:hAnsi="Arial" w:cs="Arial"/>
          <w:sz w:val="20"/>
          <w:szCs w:val="20"/>
        </w:rPr>
      </w:pPr>
    </w:p>
    <w:p w:rsidR="00DB7197" w:rsidRDefault="00DB7197" w:rsidP="00DB7197">
      <w:pPr>
        <w:pStyle w:val="Prrafodelista"/>
        <w:spacing w:after="0" w:line="240" w:lineRule="auto"/>
        <w:ind w:left="1080"/>
        <w:jc w:val="both"/>
        <w:rPr>
          <w:rFonts w:ascii="Arial" w:hAnsi="Arial" w:cs="Arial"/>
          <w:sz w:val="20"/>
          <w:szCs w:val="20"/>
        </w:rPr>
      </w:pPr>
    </w:p>
    <w:p w:rsidR="00DB7197" w:rsidRPr="001F5C13" w:rsidRDefault="00DB7197" w:rsidP="00DB7197">
      <w:pPr>
        <w:pStyle w:val="Prrafodelista"/>
        <w:spacing w:after="0" w:line="240" w:lineRule="auto"/>
        <w:ind w:left="1080"/>
        <w:jc w:val="both"/>
        <w:rPr>
          <w:rFonts w:ascii="Arial" w:hAnsi="Arial" w:cs="Arial"/>
          <w:sz w:val="20"/>
          <w:szCs w:val="20"/>
        </w:rPr>
      </w:pPr>
    </w:p>
    <w:p w:rsidR="001F5C13" w:rsidRPr="00DB7197" w:rsidRDefault="00DB7197" w:rsidP="00DB7197">
      <w:pPr>
        <w:spacing w:after="0" w:line="240" w:lineRule="auto"/>
        <w:jc w:val="both"/>
        <w:rPr>
          <w:rFonts w:ascii="Arial" w:hAnsi="Arial" w:cs="Arial"/>
          <w:b/>
          <w:sz w:val="20"/>
          <w:szCs w:val="20"/>
        </w:rPr>
      </w:pPr>
      <w:r>
        <w:rPr>
          <w:rFonts w:ascii="Arial" w:hAnsi="Arial" w:cs="Arial"/>
          <w:b/>
          <w:sz w:val="20"/>
          <w:szCs w:val="20"/>
        </w:rPr>
        <w:t>23.-</w:t>
      </w:r>
      <w:r w:rsidR="001F5C13" w:rsidRPr="00DB7197">
        <w:rPr>
          <w:rFonts w:ascii="Arial" w:hAnsi="Arial" w:cs="Arial"/>
          <w:b/>
          <w:sz w:val="20"/>
          <w:szCs w:val="20"/>
        </w:rPr>
        <w:t>Cuál es el monto de la multa a la Organización auxiliar de crédito y a las casa de cambio que no lleven a cabo la contabilidad en los términos  de la LGOAAC</w:t>
      </w:r>
    </w:p>
    <w:p w:rsidR="001F5C13" w:rsidRDefault="001F5C13" w:rsidP="00DB7197">
      <w:pPr>
        <w:spacing w:after="0" w:line="240" w:lineRule="auto"/>
        <w:jc w:val="both"/>
        <w:rPr>
          <w:rFonts w:ascii="Arial" w:hAnsi="Arial" w:cs="Arial"/>
          <w:sz w:val="20"/>
          <w:szCs w:val="20"/>
        </w:rPr>
      </w:pPr>
      <w:r w:rsidRPr="00DB7197">
        <w:rPr>
          <w:rFonts w:ascii="Arial" w:hAnsi="Arial" w:cs="Arial"/>
          <w:sz w:val="20"/>
          <w:szCs w:val="20"/>
        </w:rPr>
        <w:t>Hasta 100,000 días de salario o hasta el uno por ciento del capital pagado y reservas de capital, a las organizaciones auxiliares del crédito y casas de cambio que no lleven la contabilidad en los términos del Artículo 52 de esta Ley;</w:t>
      </w:r>
    </w:p>
    <w:p w:rsidR="00DB7197" w:rsidRPr="00DB7197" w:rsidRDefault="00DB7197" w:rsidP="00DB7197">
      <w:pPr>
        <w:spacing w:after="0" w:line="240" w:lineRule="auto"/>
        <w:jc w:val="both"/>
        <w:rPr>
          <w:rFonts w:ascii="Arial" w:hAnsi="Arial" w:cs="Arial"/>
          <w:sz w:val="20"/>
          <w:szCs w:val="20"/>
        </w:rPr>
      </w:pPr>
    </w:p>
    <w:p w:rsid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t>24.-</w:t>
      </w:r>
      <w:r w:rsidR="001F5C13" w:rsidRPr="00DB7197">
        <w:rPr>
          <w:rFonts w:ascii="Arial" w:hAnsi="Arial" w:cs="Arial"/>
          <w:b/>
          <w:sz w:val="20"/>
          <w:szCs w:val="20"/>
        </w:rPr>
        <w:t>Que leyes son supletorias a la Ley de Mercado de Valores (LMV)</w:t>
      </w:r>
    </w:p>
    <w:p w:rsidR="001F5C13" w:rsidRPr="00DB7197" w:rsidRDefault="001F5C13" w:rsidP="00DB7197">
      <w:pPr>
        <w:spacing w:after="0" w:line="240" w:lineRule="auto"/>
        <w:jc w:val="both"/>
        <w:rPr>
          <w:rFonts w:ascii="Arial" w:hAnsi="Arial" w:cs="Arial"/>
          <w:b/>
          <w:sz w:val="20"/>
          <w:szCs w:val="20"/>
        </w:rPr>
      </w:pPr>
      <w:r w:rsidRPr="00DB7197">
        <w:rPr>
          <w:rFonts w:ascii="Arial" w:hAnsi="Arial" w:cs="Arial"/>
          <w:sz w:val="20"/>
          <w:szCs w:val="20"/>
        </w:rPr>
        <w:t>La legislación mercantil, los usos bursátiles y mercantiles y la legislación civil federal, en el orden citado</w:t>
      </w:r>
    </w:p>
    <w:p w:rsidR="001F5C13" w:rsidRPr="001F5C13" w:rsidRDefault="001F5C13" w:rsidP="00DB7197">
      <w:pPr>
        <w:pStyle w:val="Prrafodelista"/>
        <w:spacing w:after="0" w:line="240" w:lineRule="auto"/>
        <w:ind w:left="1080"/>
        <w:jc w:val="both"/>
        <w:rPr>
          <w:rFonts w:ascii="Arial" w:hAnsi="Arial" w:cs="Arial"/>
          <w:sz w:val="20"/>
          <w:szCs w:val="20"/>
        </w:rPr>
      </w:pPr>
    </w:p>
    <w:p w:rsidR="00DB7197" w:rsidRDefault="00DB7197" w:rsidP="00DB7197">
      <w:pPr>
        <w:spacing w:after="0" w:line="240" w:lineRule="auto"/>
        <w:jc w:val="both"/>
        <w:rPr>
          <w:rFonts w:ascii="Arial" w:hAnsi="Arial" w:cs="Arial"/>
          <w:b/>
          <w:sz w:val="20"/>
          <w:szCs w:val="20"/>
        </w:rPr>
      </w:pPr>
      <w:r>
        <w:rPr>
          <w:rFonts w:ascii="Arial" w:hAnsi="Arial" w:cs="Arial"/>
          <w:b/>
          <w:sz w:val="20"/>
          <w:szCs w:val="20"/>
        </w:rPr>
        <w:t>25.-</w:t>
      </w:r>
      <w:r w:rsidR="001F5C13" w:rsidRPr="00DB7197">
        <w:rPr>
          <w:rFonts w:ascii="Arial" w:hAnsi="Arial" w:cs="Arial"/>
          <w:b/>
          <w:sz w:val="20"/>
          <w:szCs w:val="20"/>
        </w:rPr>
        <w:t>Cuál es el máximo de consejeros que integran el Consejo de Administración de las Sociedades Anónimas bursátiles (LMV)</w:t>
      </w:r>
    </w:p>
    <w:p w:rsidR="001F5C13" w:rsidRPr="00DB7197" w:rsidRDefault="001F5C13" w:rsidP="00DB7197">
      <w:pPr>
        <w:spacing w:after="0" w:line="240" w:lineRule="auto"/>
        <w:jc w:val="both"/>
        <w:rPr>
          <w:rFonts w:ascii="Arial" w:hAnsi="Arial" w:cs="Arial"/>
          <w:b/>
          <w:sz w:val="20"/>
          <w:szCs w:val="20"/>
        </w:rPr>
      </w:pPr>
      <w:r w:rsidRPr="00DB7197">
        <w:rPr>
          <w:rFonts w:ascii="Arial" w:hAnsi="Arial" w:cs="Arial"/>
          <w:sz w:val="20"/>
          <w:szCs w:val="20"/>
        </w:rPr>
        <w:t>El consejo de administración de las sociedades anónimas bursátiles estará integrado por un máximo de veintiún consejeros</w:t>
      </w:r>
    </w:p>
    <w:p w:rsidR="001F5C13" w:rsidRPr="00DB7197" w:rsidRDefault="001F5C13" w:rsidP="00DB7197">
      <w:pPr>
        <w:pStyle w:val="Prrafodelista"/>
        <w:autoSpaceDE w:val="0"/>
        <w:autoSpaceDN w:val="0"/>
        <w:adjustRightInd w:val="0"/>
        <w:spacing w:after="0" w:line="240" w:lineRule="auto"/>
        <w:ind w:left="1080"/>
        <w:rPr>
          <w:rFonts w:ascii="Arial" w:hAnsi="Arial" w:cs="Arial"/>
          <w:b/>
          <w:sz w:val="20"/>
          <w:szCs w:val="20"/>
        </w:rPr>
      </w:pPr>
    </w:p>
    <w:p w:rsid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lastRenderedPageBreak/>
        <w:t>26.-</w:t>
      </w:r>
      <w:r w:rsidR="001F5C13" w:rsidRPr="00DB7197">
        <w:rPr>
          <w:rFonts w:ascii="Arial" w:hAnsi="Arial" w:cs="Arial"/>
          <w:b/>
          <w:sz w:val="20"/>
          <w:szCs w:val="20"/>
        </w:rPr>
        <w:t>Que son los certificados bursátiles (LMV)</w:t>
      </w:r>
    </w:p>
    <w:p w:rsidR="001F5C13" w:rsidRPr="00DB7197" w:rsidRDefault="001F5C13" w:rsidP="00DB7197">
      <w:pPr>
        <w:spacing w:after="0" w:line="240" w:lineRule="auto"/>
        <w:jc w:val="both"/>
        <w:rPr>
          <w:rFonts w:ascii="Arial" w:hAnsi="Arial" w:cs="Arial"/>
          <w:b/>
          <w:sz w:val="20"/>
          <w:szCs w:val="20"/>
        </w:rPr>
      </w:pPr>
      <w:proofErr w:type="gramStart"/>
      <w:r w:rsidRPr="00DB7197">
        <w:rPr>
          <w:rFonts w:ascii="Arial" w:hAnsi="Arial" w:cs="Arial"/>
          <w:sz w:val="20"/>
          <w:szCs w:val="20"/>
        </w:rPr>
        <w:t>son</w:t>
      </w:r>
      <w:proofErr w:type="gramEnd"/>
      <w:r w:rsidRPr="00DB7197">
        <w:rPr>
          <w:rFonts w:ascii="Arial" w:hAnsi="Arial" w:cs="Arial"/>
          <w:sz w:val="20"/>
          <w:szCs w:val="20"/>
        </w:rPr>
        <w:t xml:space="preserve"> títulos de crédito que representan la participación individual de sus tenedores en un crédito colectivo a cargo de personas morales o de un patrimonio afecto en fideicomiso. Dichos certificados podrán ser preferentes o subordinados o incluso tener distinta prelación.</w:t>
      </w:r>
    </w:p>
    <w:p w:rsidR="001F5C13" w:rsidRDefault="001F5C13" w:rsidP="00DB7197">
      <w:pPr>
        <w:pStyle w:val="Prrafodelista"/>
        <w:spacing w:after="0" w:line="240" w:lineRule="auto"/>
        <w:ind w:left="1080"/>
        <w:jc w:val="both"/>
        <w:rPr>
          <w:rFonts w:ascii="Arial" w:hAnsi="Arial" w:cs="Arial"/>
          <w:sz w:val="20"/>
          <w:szCs w:val="20"/>
        </w:rPr>
      </w:pPr>
    </w:p>
    <w:p w:rsidR="00DB7197" w:rsidRPr="001F5C13" w:rsidRDefault="00DB7197" w:rsidP="00DB7197">
      <w:pPr>
        <w:pStyle w:val="Prrafodelista"/>
        <w:spacing w:after="0" w:line="240" w:lineRule="auto"/>
        <w:ind w:left="1080"/>
        <w:jc w:val="both"/>
        <w:rPr>
          <w:rFonts w:ascii="Arial" w:hAnsi="Arial" w:cs="Arial"/>
          <w:sz w:val="20"/>
          <w:szCs w:val="20"/>
        </w:rPr>
      </w:pPr>
    </w:p>
    <w:p w:rsidR="001F5C13" w:rsidRP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t>27.-</w:t>
      </w:r>
      <w:r w:rsidR="001F5C13" w:rsidRPr="00DB7197">
        <w:rPr>
          <w:rFonts w:ascii="Arial" w:hAnsi="Arial" w:cs="Arial"/>
          <w:b/>
          <w:sz w:val="20"/>
          <w:szCs w:val="20"/>
        </w:rPr>
        <w:t>Cuáles son las 3 partes de los folios del registro Nacional de Valores (LMV)</w:t>
      </w:r>
    </w:p>
    <w:p w:rsidR="001F5C13" w:rsidRPr="00DB7197" w:rsidRDefault="001F5C13" w:rsidP="00DB7197">
      <w:pPr>
        <w:spacing w:after="0" w:line="240" w:lineRule="auto"/>
        <w:jc w:val="both"/>
        <w:rPr>
          <w:rFonts w:ascii="Arial" w:hAnsi="Arial" w:cs="Arial"/>
          <w:sz w:val="20"/>
          <w:szCs w:val="20"/>
        </w:rPr>
      </w:pPr>
      <w:r w:rsidRPr="00DB7197">
        <w:rPr>
          <w:rFonts w:ascii="Arial" w:hAnsi="Arial" w:cs="Arial"/>
          <w:b/>
          <w:bCs/>
          <w:sz w:val="20"/>
          <w:szCs w:val="20"/>
        </w:rPr>
        <w:t xml:space="preserve">I. </w:t>
      </w:r>
      <w:r w:rsidRPr="00DB7197">
        <w:rPr>
          <w:rFonts w:ascii="Arial" w:hAnsi="Arial" w:cs="Arial"/>
          <w:sz w:val="20"/>
          <w:szCs w:val="20"/>
        </w:rPr>
        <w:t>Información general de las emisoras.</w:t>
      </w:r>
      <w:r w:rsidR="00DB7197">
        <w:rPr>
          <w:rFonts w:ascii="Arial" w:hAnsi="Arial" w:cs="Arial"/>
          <w:sz w:val="20"/>
          <w:szCs w:val="20"/>
        </w:rPr>
        <w:t xml:space="preserve"> </w:t>
      </w:r>
      <w:r w:rsidRPr="00DB7197">
        <w:rPr>
          <w:rFonts w:ascii="Arial" w:hAnsi="Arial" w:cs="Arial"/>
          <w:b/>
          <w:bCs/>
          <w:sz w:val="20"/>
          <w:szCs w:val="20"/>
        </w:rPr>
        <w:t xml:space="preserve">II. </w:t>
      </w:r>
      <w:r w:rsidRPr="00DB7197">
        <w:rPr>
          <w:rFonts w:ascii="Arial" w:hAnsi="Arial" w:cs="Arial"/>
          <w:sz w:val="20"/>
          <w:szCs w:val="20"/>
        </w:rPr>
        <w:t>Inscripciones de valores.</w:t>
      </w:r>
      <w:r w:rsidR="00DB7197">
        <w:rPr>
          <w:rFonts w:ascii="Arial" w:hAnsi="Arial" w:cs="Arial"/>
          <w:sz w:val="20"/>
          <w:szCs w:val="20"/>
        </w:rPr>
        <w:t xml:space="preserve"> </w:t>
      </w:r>
      <w:r w:rsidRPr="00DB7197">
        <w:rPr>
          <w:rFonts w:ascii="Arial" w:hAnsi="Arial" w:cs="Arial"/>
          <w:b/>
          <w:bCs/>
          <w:sz w:val="20"/>
          <w:szCs w:val="20"/>
        </w:rPr>
        <w:t xml:space="preserve">III. </w:t>
      </w:r>
      <w:r w:rsidRPr="00DB7197">
        <w:rPr>
          <w:rFonts w:ascii="Arial" w:hAnsi="Arial" w:cs="Arial"/>
          <w:sz w:val="20"/>
          <w:szCs w:val="20"/>
        </w:rPr>
        <w:t xml:space="preserve">Toma de notas. </w:t>
      </w:r>
    </w:p>
    <w:p w:rsidR="001F5C13" w:rsidRP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t>28.-</w:t>
      </w:r>
      <w:r w:rsidR="001F5C13" w:rsidRPr="00DB7197">
        <w:rPr>
          <w:rFonts w:ascii="Arial" w:hAnsi="Arial" w:cs="Arial"/>
          <w:b/>
          <w:sz w:val="20"/>
          <w:szCs w:val="20"/>
        </w:rPr>
        <w:t>Como podrán ser las ofertas Públicas de Valores (LMV)</w:t>
      </w:r>
    </w:p>
    <w:p w:rsidR="001F5C13" w:rsidRPr="00DB7197" w:rsidRDefault="001F5C13" w:rsidP="00DB7197">
      <w:pPr>
        <w:spacing w:after="0" w:line="240" w:lineRule="auto"/>
        <w:jc w:val="both"/>
        <w:rPr>
          <w:rFonts w:ascii="Arial" w:hAnsi="Arial" w:cs="Arial"/>
          <w:sz w:val="20"/>
          <w:szCs w:val="20"/>
        </w:rPr>
      </w:pPr>
      <w:r w:rsidRPr="00DB7197">
        <w:rPr>
          <w:rFonts w:ascii="Arial" w:hAnsi="Arial" w:cs="Arial"/>
          <w:b/>
          <w:bCs/>
          <w:sz w:val="20"/>
          <w:szCs w:val="20"/>
        </w:rPr>
        <w:t xml:space="preserve">I. </w:t>
      </w:r>
      <w:r w:rsidRPr="00DB7197">
        <w:rPr>
          <w:rFonts w:ascii="Arial" w:hAnsi="Arial" w:cs="Arial"/>
          <w:sz w:val="20"/>
          <w:szCs w:val="20"/>
        </w:rPr>
        <w:t>De suscripción o de enajenación.</w:t>
      </w:r>
      <w:r w:rsidR="00DB7197">
        <w:rPr>
          <w:rFonts w:ascii="Arial" w:hAnsi="Arial" w:cs="Arial"/>
          <w:sz w:val="20"/>
          <w:szCs w:val="20"/>
        </w:rPr>
        <w:t xml:space="preserve"> </w:t>
      </w:r>
      <w:r w:rsidRPr="00DB7197">
        <w:rPr>
          <w:rFonts w:ascii="Arial" w:hAnsi="Arial" w:cs="Arial"/>
          <w:b/>
          <w:bCs/>
          <w:sz w:val="20"/>
          <w:szCs w:val="20"/>
        </w:rPr>
        <w:t xml:space="preserve">II. </w:t>
      </w:r>
      <w:r w:rsidRPr="00DB7197">
        <w:rPr>
          <w:rFonts w:ascii="Arial" w:hAnsi="Arial" w:cs="Arial"/>
          <w:sz w:val="20"/>
          <w:szCs w:val="20"/>
        </w:rPr>
        <w:t>De adquisición.</w:t>
      </w:r>
    </w:p>
    <w:p w:rsidR="001F5C13" w:rsidRPr="001F5C13" w:rsidRDefault="001F5C13" w:rsidP="00DB7197">
      <w:pPr>
        <w:pStyle w:val="Prrafodelista"/>
        <w:spacing w:after="0" w:line="240" w:lineRule="auto"/>
        <w:ind w:left="1080"/>
        <w:jc w:val="both"/>
        <w:rPr>
          <w:rFonts w:ascii="Arial" w:hAnsi="Arial" w:cs="Arial"/>
          <w:sz w:val="20"/>
          <w:szCs w:val="20"/>
        </w:rPr>
      </w:pPr>
    </w:p>
    <w:p w:rsidR="001F5C13" w:rsidRP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t>29.-</w:t>
      </w:r>
      <w:r w:rsidR="001F5C13" w:rsidRPr="00DB7197">
        <w:rPr>
          <w:rFonts w:ascii="Arial" w:hAnsi="Arial" w:cs="Arial"/>
          <w:b/>
          <w:sz w:val="20"/>
          <w:szCs w:val="20"/>
        </w:rPr>
        <w:t>Quienes son los intermediarios del Mercado de valores (LMV)</w:t>
      </w:r>
    </w:p>
    <w:p w:rsidR="001F5C13" w:rsidRPr="00DB7197" w:rsidRDefault="001F5C13" w:rsidP="00DB7197">
      <w:pPr>
        <w:spacing w:after="0" w:line="240" w:lineRule="auto"/>
        <w:jc w:val="both"/>
        <w:rPr>
          <w:rFonts w:ascii="Arial" w:hAnsi="Arial" w:cs="Arial"/>
          <w:sz w:val="20"/>
          <w:szCs w:val="20"/>
        </w:rPr>
      </w:pPr>
      <w:r w:rsidRPr="00DB7197">
        <w:rPr>
          <w:rFonts w:ascii="Arial" w:hAnsi="Arial" w:cs="Arial"/>
          <w:sz w:val="20"/>
          <w:szCs w:val="20"/>
        </w:rPr>
        <w:t>Casas de bolsa.</w:t>
      </w:r>
      <w:r w:rsidR="00DB7197">
        <w:rPr>
          <w:rFonts w:ascii="Arial" w:hAnsi="Arial" w:cs="Arial"/>
          <w:sz w:val="20"/>
          <w:szCs w:val="20"/>
        </w:rPr>
        <w:t xml:space="preserve"> </w:t>
      </w:r>
      <w:r w:rsidRPr="00DB7197">
        <w:rPr>
          <w:rFonts w:ascii="Arial" w:hAnsi="Arial" w:cs="Arial"/>
          <w:sz w:val="20"/>
          <w:szCs w:val="20"/>
        </w:rPr>
        <w:t>Instituciones de crédito.</w:t>
      </w:r>
      <w:r w:rsidR="00DB7197">
        <w:rPr>
          <w:rFonts w:ascii="Arial" w:hAnsi="Arial" w:cs="Arial"/>
          <w:sz w:val="20"/>
          <w:szCs w:val="20"/>
        </w:rPr>
        <w:t xml:space="preserve"> </w:t>
      </w:r>
      <w:r w:rsidRPr="00DB7197">
        <w:rPr>
          <w:rFonts w:ascii="Arial" w:hAnsi="Arial" w:cs="Arial"/>
          <w:sz w:val="20"/>
          <w:szCs w:val="20"/>
        </w:rPr>
        <w:t>Sociedades operadoras de sociedades de inversión y administradoras de fondos para el retiro.</w:t>
      </w:r>
      <w:r w:rsidR="00DB7197">
        <w:rPr>
          <w:rFonts w:ascii="Arial" w:hAnsi="Arial" w:cs="Arial"/>
          <w:sz w:val="20"/>
          <w:szCs w:val="20"/>
        </w:rPr>
        <w:t xml:space="preserve"> </w:t>
      </w:r>
      <w:r w:rsidRPr="00DB7197">
        <w:rPr>
          <w:rFonts w:ascii="Arial" w:hAnsi="Arial" w:cs="Arial"/>
          <w:sz w:val="20"/>
          <w:szCs w:val="20"/>
        </w:rPr>
        <w:t xml:space="preserve">Sociedades distribuidoras de acciones de sociedades de inversión y entidades financieras autorizadas para actuar con el referido carácter de distribuidoras. </w:t>
      </w:r>
    </w:p>
    <w:p w:rsidR="001F5C13" w:rsidRPr="001F5C13" w:rsidRDefault="001F5C13" w:rsidP="00DB7197">
      <w:pPr>
        <w:pStyle w:val="Prrafodelista"/>
        <w:spacing w:after="0" w:line="240" w:lineRule="auto"/>
        <w:ind w:left="0"/>
        <w:jc w:val="both"/>
        <w:rPr>
          <w:rFonts w:ascii="Arial" w:hAnsi="Arial" w:cs="Arial"/>
          <w:sz w:val="20"/>
          <w:szCs w:val="20"/>
        </w:rPr>
      </w:pPr>
    </w:p>
    <w:p w:rsidR="001F5C13" w:rsidRPr="00DB7197" w:rsidRDefault="00DB7197" w:rsidP="00DB7197">
      <w:pPr>
        <w:spacing w:after="0" w:line="240" w:lineRule="auto"/>
        <w:jc w:val="both"/>
        <w:rPr>
          <w:rFonts w:ascii="Arial" w:hAnsi="Arial" w:cs="Arial"/>
          <w:b/>
          <w:sz w:val="20"/>
          <w:szCs w:val="20"/>
        </w:rPr>
      </w:pPr>
      <w:r w:rsidRPr="00DB7197">
        <w:rPr>
          <w:rFonts w:ascii="Arial" w:hAnsi="Arial" w:cs="Arial"/>
          <w:b/>
          <w:sz w:val="20"/>
          <w:szCs w:val="20"/>
        </w:rPr>
        <w:t>30.-</w:t>
      </w:r>
      <w:r w:rsidR="001F5C13" w:rsidRPr="00DB7197">
        <w:rPr>
          <w:rFonts w:ascii="Arial" w:hAnsi="Arial" w:cs="Arial"/>
          <w:b/>
          <w:sz w:val="20"/>
          <w:szCs w:val="20"/>
        </w:rPr>
        <w:t>Como está formado el capital social de las casas de bolsa (LMV)</w:t>
      </w:r>
    </w:p>
    <w:p w:rsidR="001F5C13" w:rsidRPr="00DB7197" w:rsidRDefault="001F5C13" w:rsidP="00DB7197">
      <w:pPr>
        <w:spacing w:after="0" w:line="240" w:lineRule="auto"/>
        <w:jc w:val="both"/>
        <w:rPr>
          <w:rFonts w:ascii="Arial" w:hAnsi="Arial" w:cs="Arial"/>
          <w:sz w:val="20"/>
          <w:szCs w:val="20"/>
        </w:rPr>
      </w:pPr>
      <w:r w:rsidRPr="00DB7197">
        <w:rPr>
          <w:rFonts w:ascii="Arial" w:hAnsi="Arial" w:cs="Arial"/>
          <w:sz w:val="20"/>
          <w:szCs w:val="20"/>
        </w:rPr>
        <w:t>El capital social de las casas de bolsa estará formado por una parte ordinaria y podrá también estar integrado por una parte adicional.</w:t>
      </w:r>
    </w:p>
    <w:p w:rsidR="001F5C13" w:rsidRPr="001F5C13" w:rsidRDefault="001F5C13" w:rsidP="00DB7197">
      <w:pPr>
        <w:pStyle w:val="Prrafodelista"/>
        <w:spacing w:after="0" w:line="240" w:lineRule="auto"/>
        <w:ind w:left="1080"/>
        <w:jc w:val="both"/>
        <w:rPr>
          <w:rFonts w:ascii="Arial" w:hAnsi="Arial" w:cs="Arial"/>
          <w:sz w:val="20"/>
          <w:szCs w:val="20"/>
        </w:rPr>
      </w:pPr>
    </w:p>
    <w:p w:rsidR="00DB7197" w:rsidRPr="00DB7197" w:rsidRDefault="00DB7197" w:rsidP="00DB7197">
      <w:pPr>
        <w:spacing w:after="0"/>
        <w:jc w:val="both"/>
        <w:rPr>
          <w:rFonts w:ascii="Arial" w:hAnsi="Arial" w:cs="Arial"/>
          <w:b/>
          <w:sz w:val="20"/>
          <w:szCs w:val="20"/>
        </w:rPr>
      </w:pPr>
      <w:r w:rsidRPr="00DB7197">
        <w:rPr>
          <w:rFonts w:ascii="Arial" w:hAnsi="Arial" w:cs="Arial"/>
          <w:b/>
          <w:sz w:val="20"/>
          <w:szCs w:val="20"/>
        </w:rPr>
        <w:t>31.-</w:t>
      </w:r>
      <w:r w:rsidR="001F5C13" w:rsidRPr="00DB7197">
        <w:rPr>
          <w:rFonts w:ascii="Arial" w:hAnsi="Arial" w:cs="Arial"/>
          <w:b/>
          <w:sz w:val="20"/>
          <w:szCs w:val="20"/>
        </w:rPr>
        <w:t>Como podrán ser las ofertas Públicas de Valores (LMV)</w:t>
      </w:r>
    </w:p>
    <w:p w:rsidR="001F5C13" w:rsidRPr="00DB7197" w:rsidRDefault="001F5C13" w:rsidP="00DB7197">
      <w:pPr>
        <w:spacing w:after="0"/>
        <w:jc w:val="both"/>
        <w:rPr>
          <w:rFonts w:ascii="Arial" w:hAnsi="Arial" w:cs="Arial"/>
          <w:sz w:val="20"/>
          <w:szCs w:val="20"/>
        </w:rPr>
      </w:pPr>
      <w:r w:rsidRPr="00DB7197">
        <w:rPr>
          <w:rFonts w:ascii="Arial" w:hAnsi="Arial" w:cs="Arial"/>
          <w:b/>
          <w:bCs/>
          <w:sz w:val="20"/>
          <w:szCs w:val="20"/>
        </w:rPr>
        <w:t xml:space="preserve">I. </w:t>
      </w:r>
      <w:r w:rsidRPr="00DB7197">
        <w:rPr>
          <w:rFonts w:ascii="Arial" w:hAnsi="Arial" w:cs="Arial"/>
          <w:sz w:val="20"/>
          <w:szCs w:val="20"/>
        </w:rPr>
        <w:t xml:space="preserve">De suscripción o de </w:t>
      </w:r>
      <w:proofErr w:type="spellStart"/>
      <w:r w:rsidRPr="00DB7197">
        <w:rPr>
          <w:rFonts w:ascii="Arial" w:hAnsi="Arial" w:cs="Arial"/>
          <w:sz w:val="20"/>
          <w:szCs w:val="20"/>
        </w:rPr>
        <w:t>enajenación.</w:t>
      </w:r>
      <w:r w:rsidRPr="00DB7197">
        <w:rPr>
          <w:rFonts w:ascii="Arial" w:hAnsi="Arial" w:cs="Arial"/>
          <w:b/>
          <w:bCs/>
          <w:sz w:val="20"/>
          <w:szCs w:val="20"/>
        </w:rPr>
        <w:t>II</w:t>
      </w:r>
      <w:proofErr w:type="spellEnd"/>
      <w:r w:rsidRPr="00DB7197">
        <w:rPr>
          <w:rFonts w:ascii="Arial" w:hAnsi="Arial" w:cs="Arial"/>
          <w:b/>
          <w:bCs/>
          <w:sz w:val="20"/>
          <w:szCs w:val="20"/>
        </w:rPr>
        <w:t xml:space="preserve">. </w:t>
      </w:r>
      <w:r w:rsidRPr="00DB7197">
        <w:rPr>
          <w:rFonts w:ascii="Arial" w:hAnsi="Arial" w:cs="Arial"/>
          <w:sz w:val="20"/>
          <w:szCs w:val="20"/>
        </w:rPr>
        <w:t>De adquisición.</w:t>
      </w:r>
    </w:p>
    <w:p w:rsidR="001F5C13" w:rsidRPr="001F5C13" w:rsidRDefault="001F5C13" w:rsidP="00DB7197">
      <w:pPr>
        <w:pStyle w:val="Prrafodelista"/>
        <w:spacing w:after="0"/>
        <w:ind w:left="1080"/>
        <w:jc w:val="both"/>
        <w:rPr>
          <w:rFonts w:ascii="Arial" w:hAnsi="Arial" w:cs="Arial"/>
          <w:sz w:val="20"/>
          <w:szCs w:val="20"/>
        </w:rPr>
      </w:pPr>
    </w:p>
    <w:p w:rsidR="001F5C13" w:rsidRPr="001F5C13" w:rsidRDefault="001F5C13" w:rsidP="00DB7197">
      <w:pPr>
        <w:pStyle w:val="Prrafodelista"/>
        <w:spacing w:after="0"/>
        <w:ind w:left="1080"/>
        <w:jc w:val="both"/>
        <w:rPr>
          <w:rFonts w:ascii="Arial" w:hAnsi="Arial" w:cs="Arial"/>
          <w:sz w:val="20"/>
          <w:szCs w:val="20"/>
        </w:rPr>
      </w:pPr>
    </w:p>
    <w:p w:rsidR="00A529A8" w:rsidRDefault="00A529A8" w:rsidP="00DB7197">
      <w:pPr>
        <w:spacing w:after="0"/>
      </w:pPr>
    </w:p>
    <w:p w:rsidR="001F5C13" w:rsidRDefault="001F5C13" w:rsidP="00DB7197">
      <w:pPr>
        <w:spacing w:after="0"/>
      </w:pPr>
    </w:p>
    <w:p w:rsidR="001F5C13" w:rsidRDefault="001F5C13" w:rsidP="00DB7197">
      <w:pPr>
        <w:spacing w:after="0"/>
      </w:pPr>
    </w:p>
    <w:sectPr w:rsidR="001F5C13" w:rsidSect="00A529A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C06E4"/>
    <w:multiLevelType w:val="hybridMultilevel"/>
    <w:tmpl w:val="32068000"/>
    <w:lvl w:ilvl="0" w:tplc="71D80B7E">
      <w:start w:val="1"/>
      <w:numFmt w:val="bullet"/>
      <w:lvlText w:val="-"/>
      <w:lvlJc w:val="left"/>
      <w:pPr>
        <w:ind w:left="1080" w:hanging="360"/>
      </w:pPr>
      <w:rPr>
        <w:rFonts w:ascii="Century Gothic" w:eastAsiaTheme="minorHAnsi" w:hAnsi="Century Gothic" w:cstheme="minorBid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nsid w:val="67480DE7"/>
    <w:multiLevelType w:val="hybridMultilevel"/>
    <w:tmpl w:val="D5BE70C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D174B81"/>
    <w:multiLevelType w:val="hybridMultilevel"/>
    <w:tmpl w:val="202E0646"/>
    <w:lvl w:ilvl="0" w:tplc="36ACE8A8">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5C13"/>
    <w:rsid w:val="000C51D9"/>
    <w:rsid w:val="001F5C13"/>
    <w:rsid w:val="00315799"/>
    <w:rsid w:val="005730E3"/>
    <w:rsid w:val="00A529A8"/>
    <w:rsid w:val="00A9706B"/>
    <w:rsid w:val="00DB719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9A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F5C1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E7ACA-CB45-416B-B185-37DF3F6B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1521</Words>
  <Characters>8366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UDG</Company>
  <LinksUpToDate>false</LinksUpToDate>
  <CharactersWithSpaces>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Juridicos5</dc:creator>
  <cp:keywords/>
  <dc:description/>
  <cp:lastModifiedBy>IÑIGUEZ</cp:lastModifiedBy>
  <cp:revision>4</cp:revision>
  <dcterms:created xsi:type="dcterms:W3CDTF">2011-05-24T19:16:00Z</dcterms:created>
  <dcterms:modified xsi:type="dcterms:W3CDTF">2011-05-25T05:08:00Z</dcterms:modified>
</cp:coreProperties>
</file>