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C8A" w:rsidRPr="00685387" w:rsidRDefault="00E74C8A" w:rsidP="00E74C8A">
      <w:pPr>
        <w:spacing w:line="240" w:lineRule="auto"/>
        <w:jc w:val="center"/>
        <w:rPr>
          <w:b/>
          <w:sz w:val="40"/>
        </w:rPr>
      </w:pPr>
      <w:r w:rsidRPr="00685387">
        <w:rPr>
          <w:b/>
          <w:sz w:val="40"/>
        </w:rPr>
        <w:t>INSTITUTO TECNOLÓGICO DE CHIHUAHUA</w:t>
      </w:r>
    </w:p>
    <w:p w:rsidR="00E74C8A" w:rsidRPr="00685387" w:rsidRDefault="00E74C8A" w:rsidP="00E74C8A">
      <w:pPr>
        <w:spacing w:line="240" w:lineRule="auto"/>
        <w:jc w:val="center"/>
        <w:rPr>
          <w:sz w:val="40"/>
        </w:rPr>
      </w:pPr>
    </w:p>
    <w:p w:rsidR="00E74C8A" w:rsidRPr="00685387" w:rsidRDefault="00E74C8A" w:rsidP="00E74C8A">
      <w:pPr>
        <w:spacing w:line="240" w:lineRule="auto"/>
        <w:jc w:val="center"/>
        <w:rPr>
          <w:sz w:val="40"/>
        </w:rPr>
      </w:pPr>
      <w:r w:rsidRPr="00685387">
        <w:rPr>
          <w:noProof/>
          <w:lang w:val="es-ES" w:eastAsia="es-ES"/>
        </w:rPr>
        <w:drawing>
          <wp:inline distT="0" distB="0" distL="0" distR="0">
            <wp:extent cx="2000250" cy="2152650"/>
            <wp:effectExtent l="0" t="0" r="0" b="0"/>
            <wp:docPr id="1" name="Imagen 1" descr="http://podcast.itch.edu.mx/logo/ITCH%20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http://podcast.itch.edu.mx/logo/ITCH%20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0250" cy="2152650"/>
                    </a:xfrm>
                    <a:prstGeom prst="rect">
                      <a:avLst/>
                    </a:prstGeom>
                    <a:noFill/>
                    <a:ln>
                      <a:noFill/>
                    </a:ln>
                  </pic:spPr>
                </pic:pic>
              </a:graphicData>
            </a:graphic>
          </wp:inline>
        </w:drawing>
      </w:r>
    </w:p>
    <w:p w:rsidR="00E74C8A" w:rsidRPr="00685387" w:rsidRDefault="00E74C8A" w:rsidP="00E74C8A">
      <w:pPr>
        <w:spacing w:line="240" w:lineRule="auto"/>
        <w:jc w:val="center"/>
        <w:rPr>
          <w:sz w:val="40"/>
        </w:rPr>
      </w:pPr>
    </w:p>
    <w:p w:rsidR="00E74C8A" w:rsidRPr="00685387" w:rsidRDefault="00E74C8A" w:rsidP="00E74C8A">
      <w:pPr>
        <w:spacing w:line="240" w:lineRule="auto"/>
        <w:jc w:val="center"/>
        <w:rPr>
          <w:b/>
          <w:sz w:val="32"/>
          <w:szCs w:val="32"/>
        </w:rPr>
      </w:pPr>
      <w:r w:rsidRPr="00685387">
        <w:rPr>
          <w:b/>
          <w:sz w:val="32"/>
          <w:szCs w:val="32"/>
        </w:rPr>
        <w:t>Metrología Avanzada</w:t>
      </w:r>
    </w:p>
    <w:p w:rsidR="00E74C8A" w:rsidRPr="00685387" w:rsidRDefault="00E74C8A" w:rsidP="00E74C8A">
      <w:pPr>
        <w:spacing w:line="240" w:lineRule="auto"/>
        <w:jc w:val="center"/>
        <w:rPr>
          <w:sz w:val="40"/>
        </w:rPr>
      </w:pPr>
      <w:r w:rsidRPr="00685387">
        <w:rPr>
          <w:b/>
          <w:color w:val="000000"/>
          <w:sz w:val="28"/>
          <w:szCs w:val="28"/>
          <w:shd w:val="clear" w:color="auto" w:fill="FAFAFA"/>
        </w:rPr>
        <w:t>Análisis estadístico y consideraciones diversas de la aplicación del análisis de acumulación de tolerancias</w:t>
      </w:r>
    </w:p>
    <w:p w:rsidR="00E74C8A" w:rsidRPr="00685387" w:rsidRDefault="00E74C8A" w:rsidP="00E74C8A">
      <w:pPr>
        <w:spacing w:line="240" w:lineRule="auto"/>
        <w:jc w:val="center"/>
        <w:rPr>
          <w:sz w:val="40"/>
        </w:rPr>
      </w:pPr>
    </w:p>
    <w:p w:rsidR="00E74C8A" w:rsidRPr="00685387" w:rsidRDefault="00E74C8A" w:rsidP="00E74C8A">
      <w:pPr>
        <w:spacing w:line="240" w:lineRule="auto"/>
        <w:jc w:val="center"/>
        <w:rPr>
          <w:sz w:val="40"/>
        </w:rPr>
      </w:pPr>
    </w:p>
    <w:p w:rsidR="00E74C8A" w:rsidRPr="00685387" w:rsidRDefault="00E74C8A" w:rsidP="00E74C8A">
      <w:pPr>
        <w:spacing w:line="240" w:lineRule="auto"/>
        <w:jc w:val="center"/>
        <w:rPr>
          <w:sz w:val="40"/>
        </w:rPr>
      </w:pPr>
    </w:p>
    <w:p w:rsidR="00E74C8A" w:rsidRPr="00685387" w:rsidRDefault="00E74C8A" w:rsidP="00E74C8A">
      <w:pPr>
        <w:spacing w:line="240" w:lineRule="auto"/>
        <w:jc w:val="right"/>
        <w:rPr>
          <w:b/>
          <w:sz w:val="28"/>
          <w:szCs w:val="28"/>
        </w:rPr>
      </w:pPr>
      <w:r w:rsidRPr="00685387">
        <w:rPr>
          <w:b/>
          <w:sz w:val="28"/>
          <w:szCs w:val="28"/>
        </w:rPr>
        <w:t>Investigadores:</w:t>
      </w:r>
    </w:p>
    <w:p w:rsidR="00BB7771" w:rsidRDefault="00BB7771"/>
    <w:p w:rsidR="00A14121" w:rsidRPr="00685387" w:rsidRDefault="00A14121">
      <w:bookmarkStart w:id="0" w:name="_GoBack"/>
      <w:bookmarkEnd w:id="0"/>
    </w:p>
    <w:p w:rsidR="00E74C8A" w:rsidRPr="00685387" w:rsidRDefault="00E74C8A"/>
    <w:p w:rsidR="00E74C8A" w:rsidRPr="00685387" w:rsidRDefault="00E74C8A"/>
    <w:p w:rsidR="00E74C8A" w:rsidRPr="00685387" w:rsidRDefault="00E74C8A"/>
    <w:p w:rsidR="006C6DDB" w:rsidRDefault="006C6DDB" w:rsidP="006C6DDB"/>
    <w:p w:rsidR="006070D1" w:rsidRDefault="006070D1" w:rsidP="006C6DDB"/>
    <w:p w:rsidR="006070D1" w:rsidRDefault="006070D1" w:rsidP="006C6DDB"/>
    <w:sdt>
      <w:sdtPr>
        <w:rPr>
          <w:rFonts w:ascii="Arial" w:eastAsiaTheme="minorHAnsi" w:hAnsi="Arial" w:cs="Arial"/>
          <w:color w:val="auto"/>
          <w:sz w:val="40"/>
          <w:szCs w:val="22"/>
          <w:lang w:val="es-ES" w:eastAsia="en-US"/>
        </w:rPr>
        <w:id w:val="733054095"/>
        <w:docPartObj>
          <w:docPartGallery w:val="Table of Contents"/>
          <w:docPartUnique/>
        </w:docPartObj>
      </w:sdtPr>
      <w:sdtEndPr>
        <w:rPr>
          <w:b/>
          <w:bCs/>
          <w:sz w:val="22"/>
        </w:rPr>
      </w:sdtEndPr>
      <w:sdtContent>
        <w:p w:rsidR="006070D1" w:rsidRPr="00685387" w:rsidRDefault="006070D1" w:rsidP="006070D1">
          <w:pPr>
            <w:pStyle w:val="TtulodeTDC"/>
            <w:rPr>
              <w:rFonts w:ascii="Arial" w:hAnsi="Arial" w:cs="Arial"/>
              <w:b/>
              <w:color w:val="auto"/>
              <w:sz w:val="40"/>
              <w:lang w:val="es-ES"/>
            </w:rPr>
          </w:pPr>
          <w:r w:rsidRPr="00685387">
            <w:rPr>
              <w:rFonts w:ascii="Arial" w:hAnsi="Arial" w:cs="Arial"/>
              <w:b/>
              <w:color w:val="auto"/>
              <w:sz w:val="40"/>
              <w:lang w:val="es-ES"/>
            </w:rPr>
            <w:t>Contenido</w:t>
          </w:r>
        </w:p>
        <w:p w:rsidR="006070D1" w:rsidRPr="00685387" w:rsidRDefault="006070D1" w:rsidP="006070D1">
          <w:pPr>
            <w:jc w:val="both"/>
            <w:rPr>
              <w:lang w:val="es-ES" w:eastAsia="es-MX"/>
            </w:rPr>
          </w:pPr>
        </w:p>
        <w:p w:rsidR="00D71EC3" w:rsidRDefault="006070D1" w:rsidP="00D71EC3">
          <w:pPr>
            <w:pStyle w:val="TDC2"/>
            <w:tabs>
              <w:tab w:val="right" w:leader="dot" w:pos="8828"/>
            </w:tabs>
            <w:ind w:left="0"/>
            <w:rPr>
              <w:rFonts w:asciiTheme="minorHAnsi" w:eastAsiaTheme="minorEastAsia" w:hAnsiTheme="minorHAnsi" w:cstheme="minorBidi"/>
              <w:noProof/>
              <w:lang w:eastAsia="es-MX"/>
            </w:rPr>
          </w:pPr>
          <w:r w:rsidRPr="00685387">
            <w:rPr>
              <w:b/>
            </w:rPr>
            <w:fldChar w:fldCharType="begin"/>
          </w:r>
          <w:r w:rsidRPr="00685387">
            <w:rPr>
              <w:b/>
            </w:rPr>
            <w:instrText xml:space="preserve"> TOC \o "1-3" \h \z \u </w:instrText>
          </w:r>
          <w:r w:rsidRPr="00685387">
            <w:rPr>
              <w:b/>
            </w:rPr>
            <w:fldChar w:fldCharType="separate"/>
          </w:r>
          <w:hyperlink w:anchor="_Toc372753066" w:history="1">
            <w:r w:rsidR="00D71EC3" w:rsidRPr="003A0753">
              <w:rPr>
                <w:rStyle w:val="Hipervnculo"/>
                <w:b/>
                <w:noProof/>
              </w:rPr>
              <w:t>Introducción</w:t>
            </w:r>
            <w:r w:rsidR="00D71EC3">
              <w:rPr>
                <w:noProof/>
                <w:webHidden/>
              </w:rPr>
              <w:tab/>
            </w:r>
            <w:r w:rsidR="00D71EC3">
              <w:rPr>
                <w:noProof/>
                <w:webHidden/>
              </w:rPr>
              <w:fldChar w:fldCharType="begin"/>
            </w:r>
            <w:r w:rsidR="00D71EC3">
              <w:rPr>
                <w:noProof/>
                <w:webHidden/>
              </w:rPr>
              <w:instrText xml:space="preserve"> PAGEREF _Toc372753066 \h </w:instrText>
            </w:r>
            <w:r w:rsidR="00D71EC3">
              <w:rPr>
                <w:noProof/>
                <w:webHidden/>
              </w:rPr>
            </w:r>
            <w:r w:rsidR="00D71EC3">
              <w:rPr>
                <w:noProof/>
                <w:webHidden/>
              </w:rPr>
              <w:fldChar w:fldCharType="separate"/>
            </w:r>
            <w:r w:rsidR="00D71EC3">
              <w:rPr>
                <w:noProof/>
                <w:webHidden/>
              </w:rPr>
              <w:t>2</w:t>
            </w:r>
            <w:r w:rsidR="00D71EC3">
              <w:rPr>
                <w:noProof/>
                <w:webHidden/>
              </w:rPr>
              <w:fldChar w:fldCharType="end"/>
            </w:r>
          </w:hyperlink>
        </w:p>
        <w:p w:rsidR="00D71EC3" w:rsidRDefault="00A14121">
          <w:pPr>
            <w:pStyle w:val="TDC1"/>
            <w:tabs>
              <w:tab w:val="right" w:leader="dot" w:pos="8828"/>
            </w:tabs>
            <w:rPr>
              <w:rFonts w:asciiTheme="minorHAnsi" w:eastAsiaTheme="minorEastAsia" w:hAnsiTheme="minorHAnsi" w:cstheme="minorBidi"/>
              <w:noProof/>
              <w:lang w:eastAsia="es-MX"/>
            </w:rPr>
          </w:pPr>
          <w:hyperlink w:anchor="_Toc372753067" w:history="1">
            <w:r w:rsidR="00D71EC3" w:rsidRPr="003A0753">
              <w:rPr>
                <w:rStyle w:val="Hipervnculo"/>
                <w:b/>
                <w:noProof/>
              </w:rPr>
              <w:t>Capítulo 8.- Análisis estadístico de tolerancias</w:t>
            </w:r>
            <w:r w:rsidR="00D71EC3">
              <w:rPr>
                <w:noProof/>
                <w:webHidden/>
              </w:rPr>
              <w:tab/>
            </w:r>
            <w:r w:rsidR="00D71EC3">
              <w:rPr>
                <w:noProof/>
                <w:webHidden/>
              </w:rPr>
              <w:fldChar w:fldCharType="begin"/>
            </w:r>
            <w:r w:rsidR="00D71EC3">
              <w:rPr>
                <w:noProof/>
                <w:webHidden/>
              </w:rPr>
              <w:instrText xml:space="preserve"> PAGEREF _Toc372753067 \h </w:instrText>
            </w:r>
            <w:r w:rsidR="00D71EC3">
              <w:rPr>
                <w:noProof/>
                <w:webHidden/>
              </w:rPr>
            </w:r>
            <w:r w:rsidR="00D71EC3">
              <w:rPr>
                <w:noProof/>
                <w:webHidden/>
              </w:rPr>
              <w:fldChar w:fldCharType="separate"/>
            </w:r>
            <w:r w:rsidR="00D71EC3">
              <w:rPr>
                <w:noProof/>
                <w:webHidden/>
              </w:rPr>
              <w:t>2</w:t>
            </w:r>
            <w:r w:rsidR="00D71EC3">
              <w:rPr>
                <w:noProof/>
                <w:webHidden/>
              </w:rPr>
              <w:fldChar w:fldCharType="end"/>
            </w:r>
          </w:hyperlink>
        </w:p>
        <w:p w:rsidR="00D71EC3" w:rsidRDefault="00A14121">
          <w:pPr>
            <w:pStyle w:val="TDC1"/>
            <w:tabs>
              <w:tab w:val="right" w:leader="dot" w:pos="8828"/>
            </w:tabs>
            <w:rPr>
              <w:rFonts w:asciiTheme="minorHAnsi" w:eastAsiaTheme="minorEastAsia" w:hAnsiTheme="minorHAnsi" w:cstheme="minorBidi"/>
              <w:noProof/>
              <w:lang w:eastAsia="es-MX"/>
            </w:rPr>
          </w:pPr>
          <w:hyperlink w:anchor="_Toc372753068" w:history="1">
            <w:r w:rsidR="00D71EC3" w:rsidRPr="003A0753">
              <w:rPr>
                <w:rStyle w:val="Hipervnculo"/>
                <w:b/>
                <w:noProof/>
              </w:rPr>
              <w:t>Capítulo 18.- Fórmulas y consideraciones de sujetadores flotantes y sujetadores fijos</w:t>
            </w:r>
            <w:r w:rsidR="00D71EC3">
              <w:rPr>
                <w:noProof/>
                <w:webHidden/>
              </w:rPr>
              <w:tab/>
            </w:r>
            <w:r w:rsidR="00D71EC3">
              <w:rPr>
                <w:noProof/>
                <w:webHidden/>
              </w:rPr>
              <w:fldChar w:fldCharType="begin"/>
            </w:r>
            <w:r w:rsidR="00D71EC3">
              <w:rPr>
                <w:noProof/>
                <w:webHidden/>
              </w:rPr>
              <w:instrText xml:space="preserve"> PAGEREF _Toc372753068 \h </w:instrText>
            </w:r>
            <w:r w:rsidR="00D71EC3">
              <w:rPr>
                <w:noProof/>
                <w:webHidden/>
              </w:rPr>
            </w:r>
            <w:r w:rsidR="00D71EC3">
              <w:rPr>
                <w:noProof/>
                <w:webHidden/>
              </w:rPr>
              <w:fldChar w:fldCharType="separate"/>
            </w:r>
            <w:r w:rsidR="00D71EC3">
              <w:rPr>
                <w:noProof/>
                <w:webHidden/>
              </w:rPr>
              <w:t>7</w:t>
            </w:r>
            <w:r w:rsidR="00D71EC3">
              <w:rPr>
                <w:noProof/>
                <w:webHidden/>
              </w:rPr>
              <w:fldChar w:fldCharType="end"/>
            </w:r>
          </w:hyperlink>
        </w:p>
        <w:p w:rsidR="00D71EC3" w:rsidRDefault="00A14121">
          <w:pPr>
            <w:pStyle w:val="TDC1"/>
            <w:tabs>
              <w:tab w:val="right" w:leader="dot" w:pos="8828"/>
            </w:tabs>
            <w:rPr>
              <w:rFonts w:asciiTheme="minorHAnsi" w:eastAsiaTheme="minorEastAsia" w:hAnsiTheme="minorHAnsi" w:cstheme="minorBidi"/>
              <w:noProof/>
              <w:lang w:eastAsia="es-MX"/>
            </w:rPr>
          </w:pPr>
          <w:hyperlink w:anchor="_Toc372753069" w:history="1">
            <w:r w:rsidR="00D71EC3" w:rsidRPr="003A0753">
              <w:rPr>
                <w:rStyle w:val="Hipervnculo"/>
                <w:b/>
                <w:noProof/>
              </w:rPr>
              <w:t>Capítulo 19.- Clasificación de tolerancias y ajustes</w:t>
            </w:r>
            <w:r w:rsidR="00D71EC3">
              <w:rPr>
                <w:noProof/>
                <w:webHidden/>
              </w:rPr>
              <w:tab/>
            </w:r>
            <w:r w:rsidR="00D71EC3">
              <w:rPr>
                <w:noProof/>
                <w:webHidden/>
              </w:rPr>
              <w:fldChar w:fldCharType="begin"/>
            </w:r>
            <w:r w:rsidR="00D71EC3">
              <w:rPr>
                <w:noProof/>
                <w:webHidden/>
              </w:rPr>
              <w:instrText xml:space="preserve"> PAGEREF _Toc372753069 \h </w:instrText>
            </w:r>
            <w:r w:rsidR="00D71EC3">
              <w:rPr>
                <w:noProof/>
                <w:webHidden/>
              </w:rPr>
            </w:r>
            <w:r w:rsidR="00D71EC3">
              <w:rPr>
                <w:noProof/>
                <w:webHidden/>
              </w:rPr>
              <w:fldChar w:fldCharType="separate"/>
            </w:r>
            <w:r w:rsidR="00D71EC3">
              <w:rPr>
                <w:noProof/>
                <w:webHidden/>
              </w:rPr>
              <w:t>8</w:t>
            </w:r>
            <w:r w:rsidR="00D71EC3">
              <w:rPr>
                <w:noProof/>
                <w:webHidden/>
              </w:rPr>
              <w:fldChar w:fldCharType="end"/>
            </w:r>
          </w:hyperlink>
        </w:p>
        <w:p w:rsidR="00D71EC3" w:rsidRDefault="00A14121">
          <w:pPr>
            <w:pStyle w:val="TDC1"/>
            <w:tabs>
              <w:tab w:val="right" w:leader="dot" w:pos="8828"/>
            </w:tabs>
            <w:rPr>
              <w:rFonts w:asciiTheme="minorHAnsi" w:eastAsiaTheme="minorEastAsia" w:hAnsiTheme="minorHAnsi" w:cstheme="minorBidi"/>
              <w:noProof/>
              <w:lang w:eastAsia="es-MX"/>
            </w:rPr>
          </w:pPr>
          <w:hyperlink w:anchor="_Toc372753070" w:history="1">
            <w:r w:rsidR="00D71EC3" w:rsidRPr="003A0753">
              <w:rPr>
                <w:rStyle w:val="Hipervnculo"/>
                <w:b/>
                <w:noProof/>
              </w:rPr>
              <w:t>Conclusiones</w:t>
            </w:r>
            <w:r w:rsidR="00D71EC3">
              <w:rPr>
                <w:noProof/>
                <w:webHidden/>
              </w:rPr>
              <w:tab/>
            </w:r>
            <w:r w:rsidR="00D71EC3">
              <w:rPr>
                <w:noProof/>
                <w:webHidden/>
              </w:rPr>
              <w:fldChar w:fldCharType="begin"/>
            </w:r>
            <w:r w:rsidR="00D71EC3">
              <w:rPr>
                <w:noProof/>
                <w:webHidden/>
              </w:rPr>
              <w:instrText xml:space="preserve"> PAGEREF _Toc372753070 \h </w:instrText>
            </w:r>
            <w:r w:rsidR="00D71EC3">
              <w:rPr>
                <w:noProof/>
                <w:webHidden/>
              </w:rPr>
            </w:r>
            <w:r w:rsidR="00D71EC3">
              <w:rPr>
                <w:noProof/>
                <w:webHidden/>
              </w:rPr>
              <w:fldChar w:fldCharType="separate"/>
            </w:r>
            <w:r w:rsidR="00D71EC3">
              <w:rPr>
                <w:noProof/>
                <w:webHidden/>
              </w:rPr>
              <w:t>10</w:t>
            </w:r>
            <w:r w:rsidR="00D71EC3">
              <w:rPr>
                <w:noProof/>
                <w:webHidden/>
              </w:rPr>
              <w:fldChar w:fldCharType="end"/>
            </w:r>
          </w:hyperlink>
        </w:p>
        <w:p w:rsidR="00D71EC3" w:rsidRDefault="00A14121">
          <w:pPr>
            <w:pStyle w:val="TDC1"/>
            <w:tabs>
              <w:tab w:val="right" w:leader="dot" w:pos="8828"/>
            </w:tabs>
            <w:rPr>
              <w:rFonts w:asciiTheme="minorHAnsi" w:eastAsiaTheme="minorEastAsia" w:hAnsiTheme="minorHAnsi" w:cstheme="minorBidi"/>
              <w:noProof/>
              <w:lang w:eastAsia="es-MX"/>
            </w:rPr>
          </w:pPr>
          <w:hyperlink w:anchor="_Toc372753071" w:history="1">
            <w:r w:rsidR="00D71EC3" w:rsidRPr="003A0753">
              <w:rPr>
                <w:rStyle w:val="Hipervnculo"/>
                <w:b/>
                <w:noProof/>
                <w:lang w:val="en-US"/>
              </w:rPr>
              <w:t>Referencias</w:t>
            </w:r>
            <w:r w:rsidR="00D71EC3">
              <w:rPr>
                <w:noProof/>
                <w:webHidden/>
              </w:rPr>
              <w:tab/>
            </w:r>
            <w:r w:rsidR="00D71EC3">
              <w:rPr>
                <w:noProof/>
                <w:webHidden/>
              </w:rPr>
              <w:fldChar w:fldCharType="begin"/>
            </w:r>
            <w:r w:rsidR="00D71EC3">
              <w:rPr>
                <w:noProof/>
                <w:webHidden/>
              </w:rPr>
              <w:instrText xml:space="preserve"> PAGEREF _Toc372753071 \h </w:instrText>
            </w:r>
            <w:r w:rsidR="00D71EC3">
              <w:rPr>
                <w:noProof/>
                <w:webHidden/>
              </w:rPr>
            </w:r>
            <w:r w:rsidR="00D71EC3">
              <w:rPr>
                <w:noProof/>
                <w:webHidden/>
              </w:rPr>
              <w:fldChar w:fldCharType="separate"/>
            </w:r>
            <w:r w:rsidR="00D71EC3">
              <w:rPr>
                <w:noProof/>
                <w:webHidden/>
              </w:rPr>
              <w:t>10</w:t>
            </w:r>
            <w:r w:rsidR="00D71EC3">
              <w:rPr>
                <w:noProof/>
                <w:webHidden/>
              </w:rPr>
              <w:fldChar w:fldCharType="end"/>
            </w:r>
          </w:hyperlink>
        </w:p>
        <w:p w:rsidR="006070D1" w:rsidRPr="00685387" w:rsidRDefault="006070D1" w:rsidP="006070D1">
          <w:r w:rsidRPr="00685387">
            <w:rPr>
              <w:b/>
              <w:bCs/>
              <w:lang w:val="es-ES"/>
            </w:rPr>
            <w:fldChar w:fldCharType="end"/>
          </w:r>
        </w:p>
      </w:sdtContent>
    </w:sdt>
    <w:p w:rsidR="006070D1" w:rsidRDefault="006070D1" w:rsidP="006C6DDB"/>
    <w:p w:rsidR="006070D1" w:rsidRDefault="006070D1" w:rsidP="006C6DDB"/>
    <w:p w:rsidR="006070D1" w:rsidRDefault="006070D1" w:rsidP="006C6DDB"/>
    <w:p w:rsidR="006070D1" w:rsidRDefault="006070D1" w:rsidP="006C6DDB"/>
    <w:p w:rsidR="006070D1" w:rsidRDefault="006070D1" w:rsidP="006C6DDB"/>
    <w:p w:rsidR="006070D1" w:rsidRDefault="006070D1" w:rsidP="006C6DDB"/>
    <w:p w:rsidR="006070D1" w:rsidRDefault="006070D1" w:rsidP="006C6DDB"/>
    <w:p w:rsidR="006070D1" w:rsidRDefault="006070D1" w:rsidP="006C6DDB"/>
    <w:p w:rsidR="006070D1" w:rsidRDefault="006070D1" w:rsidP="006C6DDB"/>
    <w:p w:rsidR="006070D1" w:rsidRDefault="006070D1" w:rsidP="006C6DDB"/>
    <w:p w:rsidR="006070D1" w:rsidRDefault="006070D1" w:rsidP="006C6DDB"/>
    <w:p w:rsidR="006070D1" w:rsidRDefault="006070D1" w:rsidP="006C6DDB"/>
    <w:p w:rsidR="006070D1" w:rsidRDefault="006070D1" w:rsidP="006C6DDB"/>
    <w:p w:rsidR="006070D1" w:rsidRDefault="006070D1" w:rsidP="006C6DDB"/>
    <w:p w:rsidR="006070D1" w:rsidRDefault="006070D1" w:rsidP="006C6DDB"/>
    <w:p w:rsidR="006070D1" w:rsidRDefault="006070D1" w:rsidP="006C6DDB"/>
    <w:p w:rsidR="006070D1" w:rsidRPr="006C6DDB" w:rsidRDefault="006070D1" w:rsidP="006C6DDB"/>
    <w:p w:rsidR="003467A7" w:rsidRDefault="00731120" w:rsidP="00731120">
      <w:pPr>
        <w:pStyle w:val="Ttulo2"/>
        <w:rPr>
          <w:rFonts w:ascii="Arial" w:hAnsi="Arial" w:cs="Arial"/>
          <w:b/>
          <w:color w:val="auto"/>
          <w:sz w:val="28"/>
        </w:rPr>
      </w:pPr>
      <w:bookmarkStart w:id="1" w:name="_Toc372753066"/>
      <w:r w:rsidRPr="00685387">
        <w:rPr>
          <w:rFonts w:ascii="Arial" w:hAnsi="Arial" w:cs="Arial"/>
          <w:b/>
          <w:color w:val="auto"/>
          <w:sz w:val="28"/>
        </w:rPr>
        <w:t>Introducción</w:t>
      </w:r>
      <w:bookmarkEnd w:id="1"/>
    </w:p>
    <w:p w:rsidR="009176F6" w:rsidRPr="009176F6" w:rsidRDefault="009176F6" w:rsidP="009176F6"/>
    <w:p w:rsidR="009176F6" w:rsidRPr="009176F6" w:rsidRDefault="009176F6" w:rsidP="009176F6">
      <w:pPr>
        <w:autoSpaceDE w:val="0"/>
        <w:autoSpaceDN w:val="0"/>
        <w:adjustRightInd w:val="0"/>
        <w:spacing w:after="120" w:line="360" w:lineRule="auto"/>
        <w:rPr>
          <w:rFonts w:eastAsia="TimesLTStd-Roman"/>
          <w:sz w:val="20"/>
          <w:szCs w:val="20"/>
        </w:rPr>
      </w:pPr>
      <w:r w:rsidRPr="009176F6">
        <w:rPr>
          <w:rFonts w:eastAsia="TimesLTStd-Roman"/>
          <w:sz w:val="20"/>
          <w:szCs w:val="20"/>
        </w:rPr>
        <w:t xml:space="preserve">El análisis de tolerancias y la acumulación de tolerancias han estado alrededor nuestro de una forma u otra por un largo tiempo. En algún punto en el pasado, se volvió necesario el determinar si una colección de partes debía poder embonar antes de ser manufacturadas. ¿Cómo puede el </w:t>
      </w:r>
      <w:r w:rsidRPr="009176F6">
        <w:rPr>
          <w:rFonts w:eastAsia="TimesLTStd-Roman"/>
          <w:sz w:val="20"/>
          <w:szCs w:val="20"/>
        </w:rPr>
        <w:lastRenderedPageBreak/>
        <w:t>diseñador asegurar que las partes imperfectas embonaran en el ensamblaje, si todas las partes son imperfectas? ¿Qué tanta imperfección o variación es permisible?, ¿acaso importa si una parte es hecha un poco más grande que la medida nominal, y la pieza con que se ensambla es hecha más pequeña que la nominal?</w:t>
      </w:r>
    </w:p>
    <w:p w:rsidR="009176F6" w:rsidRPr="009176F6" w:rsidRDefault="009176F6" w:rsidP="009176F6">
      <w:pPr>
        <w:autoSpaceDE w:val="0"/>
        <w:autoSpaceDN w:val="0"/>
        <w:adjustRightInd w:val="0"/>
        <w:spacing w:after="120" w:line="360" w:lineRule="auto"/>
        <w:rPr>
          <w:rFonts w:eastAsia="TimesLTStd-Roman"/>
          <w:sz w:val="20"/>
          <w:szCs w:val="20"/>
        </w:rPr>
      </w:pPr>
      <w:r w:rsidRPr="009176F6">
        <w:rPr>
          <w:rFonts w:eastAsia="TimesLTStd-Roman"/>
          <w:sz w:val="20"/>
          <w:szCs w:val="20"/>
        </w:rPr>
        <w:t>¿Qué tal si las partes fueran hechas del lado pequeño, y los agujeros en cada parte están ligeramente inclinados fuera de posición? ¿Qué es lo que más afecta el desempeño del ensamblaje, variación en el tamaño o variación en la posición? ¿Qué ocurre con una parte si una superficie en la parte con que ensambla esta inclinada?</w:t>
      </w:r>
    </w:p>
    <w:p w:rsidR="009176F6" w:rsidRPr="009176F6" w:rsidRDefault="009176F6" w:rsidP="009176F6">
      <w:pPr>
        <w:autoSpaceDE w:val="0"/>
        <w:autoSpaceDN w:val="0"/>
        <w:adjustRightInd w:val="0"/>
        <w:spacing w:after="120" w:line="360" w:lineRule="auto"/>
        <w:rPr>
          <w:rFonts w:eastAsia="TimesLTStd-Roman"/>
          <w:sz w:val="20"/>
          <w:szCs w:val="20"/>
        </w:rPr>
      </w:pPr>
      <w:r w:rsidRPr="009176F6">
        <w:rPr>
          <w:rFonts w:eastAsia="TimesLTStd-Roman"/>
          <w:sz w:val="20"/>
          <w:szCs w:val="20"/>
        </w:rPr>
        <w:t>Todas estas preguntas llevan a la acumulación de tolerancias.</w:t>
      </w:r>
    </w:p>
    <w:p w:rsidR="00731120" w:rsidRPr="00685387" w:rsidRDefault="00731120" w:rsidP="00731120"/>
    <w:p w:rsidR="00A7044D" w:rsidRPr="00685387" w:rsidRDefault="00A7044D" w:rsidP="00A7044D">
      <w:pPr>
        <w:pStyle w:val="Ttulo1"/>
        <w:rPr>
          <w:rFonts w:ascii="Arial" w:hAnsi="Arial" w:cs="Arial"/>
          <w:b/>
          <w:color w:val="auto"/>
          <w:sz w:val="28"/>
        </w:rPr>
      </w:pPr>
      <w:bookmarkStart w:id="2" w:name="_Toc372753067"/>
      <w:r w:rsidRPr="00685387">
        <w:rPr>
          <w:rFonts w:ascii="Arial" w:hAnsi="Arial" w:cs="Arial"/>
          <w:b/>
          <w:color w:val="auto"/>
          <w:sz w:val="28"/>
        </w:rPr>
        <w:t>Capítulo 8.- Análisis estadístico de tolerancias</w:t>
      </w:r>
      <w:bookmarkEnd w:id="2"/>
    </w:p>
    <w:p w:rsidR="00A7044D" w:rsidRPr="00685387" w:rsidRDefault="00A7044D" w:rsidP="00286CD4">
      <w:pPr>
        <w:jc w:val="both"/>
      </w:pPr>
    </w:p>
    <w:p w:rsidR="00A7044D" w:rsidRPr="00685387" w:rsidRDefault="00A7044D" w:rsidP="00286CD4">
      <w:pPr>
        <w:spacing w:after="120" w:line="360" w:lineRule="auto"/>
        <w:jc w:val="both"/>
        <w:rPr>
          <w:sz w:val="20"/>
          <w:szCs w:val="20"/>
        </w:rPr>
      </w:pPr>
      <w:r w:rsidRPr="00685387">
        <w:rPr>
          <w:sz w:val="20"/>
          <w:szCs w:val="20"/>
        </w:rPr>
        <w:t>El análisis estadístico de tolerancias determina la variación máxima probable o que sea posible para una dimensión seleccionada. Al igual que en el análisis de tolerancias del peor caso, se añaden todas las tolerancias y otras variables para obtener la variación total. Recuerde, el resultado de la acumulación de tolerancias del peor caso requiere algunas dimensiones para estar en su límite inferior y otros para estar en su límite superior.</w:t>
      </w:r>
    </w:p>
    <w:p w:rsidR="00A7044D" w:rsidRPr="00685387" w:rsidRDefault="00A7044D" w:rsidP="00A7044D">
      <w:pPr>
        <w:spacing w:after="120" w:line="360" w:lineRule="auto"/>
        <w:jc w:val="both"/>
        <w:rPr>
          <w:sz w:val="20"/>
          <w:szCs w:val="20"/>
        </w:rPr>
      </w:pPr>
      <w:r w:rsidRPr="00685387">
        <w:rPr>
          <w:sz w:val="20"/>
          <w:szCs w:val="20"/>
        </w:rPr>
        <w:t>La combinación de estos factores conduce a la idea de un acumulamiento de tolerancias estadístico. En general, en el análisis estadístico de tolerancias se obtiene un valor menor para la variación total que en el análisis del peor caso en la acumulación de tolerancias. Es decir, las técnicas de análisis de tolerancia estadísticos generalmente predicen una menor variación de los resultados del peor caso. El número de tolerancias por sí solos, son insuficientes para seleccionar un enfoque estadístico.</w:t>
      </w:r>
    </w:p>
    <w:p w:rsidR="00A7044D" w:rsidRPr="00685387" w:rsidRDefault="00A7044D" w:rsidP="00A7044D">
      <w:pPr>
        <w:spacing w:after="120" w:line="360" w:lineRule="auto"/>
        <w:jc w:val="both"/>
        <w:rPr>
          <w:sz w:val="20"/>
          <w:szCs w:val="20"/>
        </w:rPr>
      </w:pPr>
      <w:r w:rsidRPr="00685387">
        <w:rPr>
          <w:sz w:val="20"/>
          <w:szCs w:val="20"/>
        </w:rPr>
        <w:t>Los análisis estadísticos de tolerancias son basados en algunas condiciones como las siguientes.</w:t>
      </w:r>
    </w:p>
    <w:p w:rsidR="00A7044D" w:rsidRPr="00685387" w:rsidRDefault="00A7044D" w:rsidP="00A7044D">
      <w:pPr>
        <w:pStyle w:val="Prrafodelista"/>
        <w:numPr>
          <w:ilvl w:val="0"/>
          <w:numId w:val="5"/>
        </w:numPr>
        <w:spacing w:after="120" w:line="360" w:lineRule="auto"/>
        <w:jc w:val="both"/>
        <w:rPr>
          <w:rFonts w:ascii="Arial" w:hAnsi="Arial" w:cs="Arial"/>
          <w:sz w:val="20"/>
          <w:szCs w:val="20"/>
        </w:rPr>
      </w:pPr>
      <w:r w:rsidRPr="00685387">
        <w:rPr>
          <w:rFonts w:ascii="Arial" w:hAnsi="Arial" w:cs="Arial"/>
          <w:sz w:val="20"/>
          <w:szCs w:val="20"/>
        </w:rPr>
        <w:t>Los procesos de manufactura deben ser procesos controlados</w:t>
      </w:r>
    </w:p>
    <w:p w:rsidR="00A7044D" w:rsidRPr="00685387" w:rsidRDefault="00A7044D" w:rsidP="00A7044D">
      <w:pPr>
        <w:pStyle w:val="Prrafodelista"/>
        <w:numPr>
          <w:ilvl w:val="0"/>
          <w:numId w:val="5"/>
        </w:numPr>
        <w:spacing w:after="120" w:line="360" w:lineRule="auto"/>
        <w:jc w:val="both"/>
        <w:rPr>
          <w:rFonts w:ascii="Arial" w:hAnsi="Arial" w:cs="Arial"/>
          <w:sz w:val="20"/>
          <w:szCs w:val="20"/>
        </w:rPr>
      </w:pPr>
      <w:r w:rsidRPr="00685387">
        <w:rPr>
          <w:rFonts w:ascii="Arial" w:hAnsi="Arial" w:cs="Arial"/>
          <w:sz w:val="20"/>
          <w:szCs w:val="20"/>
        </w:rPr>
        <w:t>Los procesos deben ser centrados y de salida normal o distribuciones gaussianas.</w:t>
      </w:r>
    </w:p>
    <w:p w:rsidR="00A7044D" w:rsidRPr="00685387" w:rsidRDefault="00A7044D" w:rsidP="00A7044D">
      <w:pPr>
        <w:pStyle w:val="Prrafodelista"/>
        <w:numPr>
          <w:ilvl w:val="0"/>
          <w:numId w:val="5"/>
        </w:numPr>
        <w:spacing w:after="0" w:line="360" w:lineRule="auto"/>
        <w:jc w:val="both"/>
        <w:rPr>
          <w:rFonts w:ascii="Arial" w:hAnsi="Arial" w:cs="Arial"/>
          <w:sz w:val="20"/>
          <w:szCs w:val="20"/>
        </w:rPr>
      </w:pPr>
      <w:r w:rsidRPr="00685387">
        <w:rPr>
          <w:rFonts w:ascii="Arial" w:hAnsi="Arial" w:cs="Arial"/>
          <w:sz w:val="20"/>
          <w:szCs w:val="20"/>
        </w:rPr>
        <w:t>Las partes deben ser seleccionadas aleatoriamente.</w:t>
      </w:r>
    </w:p>
    <w:p w:rsidR="00A7044D" w:rsidRPr="00685387" w:rsidRDefault="00A7044D" w:rsidP="00A7044D">
      <w:pPr>
        <w:pStyle w:val="Prrafodelista"/>
        <w:numPr>
          <w:ilvl w:val="0"/>
          <w:numId w:val="5"/>
        </w:numPr>
        <w:spacing w:after="0" w:line="360" w:lineRule="auto"/>
        <w:jc w:val="both"/>
        <w:rPr>
          <w:rFonts w:ascii="Arial" w:hAnsi="Arial" w:cs="Arial"/>
          <w:sz w:val="20"/>
          <w:szCs w:val="20"/>
        </w:rPr>
      </w:pPr>
      <w:r w:rsidRPr="00685387">
        <w:rPr>
          <w:rFonts w:ascii="Arial" w:hAnsi="Arial" w:cs="Arial"/>
          <w:sz w:val="20"/>
          <w:szCs w:val="20"/>
        </w:rPr>
        <w:t>Para ciertos modelos de análisis estadístico de tolerancias cada variable que  contribuye a una acumulación de tolerancias debe de ser independientes a otras variables que atribuyan al acumulamiento de tolerancias.</w:t>
      </w:r>
    </w:p>
    <w:p w:rsidR="00A7044D" w:rsidRPr="00685387" w:rsidRDefault="00A7044D" w:rsidP="00A7044D">
      <w:pPr>
        <w:pStyle w:val="Prrafodelista"/>
        <w:numPr>
          <w:ilvl w:val="0"/>
          <w:numId w:val="5"/>
        </w:numPr>
        <w:spacing w:after="0" w:line="360" w:lineRule="auto"/>
        <w:jc w:val="both"/>
        <w:rPr>
          <w:rFonts w:ascii="Arial" w:hAnsi="Arial" w:cs="Arial"/>
          <w:sz w:val="20"/>
          <w:szCs w:val="20"/>
        </w:rPr>
      </w:pPr>
      <w:r w:rsidRPr="00685387">
        <w:rPr>
          <w:rFonts w:ascii="Arial" w:hAnsi="Arial" w:cs="Arial"/>
          <w:sz w:val="20"/>
          <w:szCs w:val="20"/>
        </w:rPr>
        <w:t>Considere partes maquinadas con dos variables que contribuyan al acumulamiento de tolerancias.</w:t>
      </w:r>
    </w:p>
    <w:p w:rsidR="00A7044D" w:rsidRPr="00685387" w:rsidRDefault="00A7044D" w:rsidP="00A7044D">
      <w:pPr>
        <w:spacing w:after="0" w:line="360" w:lineRule="auto"/>
        <w:jc w:val="both"/>
        <w:rPr>
          <w:sz w:val="20"/>
          <w:szCs w:val="20"/>
        </w:rPr>
      </w:pPr>
      <w:r w:rsidRPr="00685387">
        <w:rPr>
          <w:sz w:val="20"/>
          <w:szCs w:val="20"/>
        </w:rPr>
        <w:t xml:space="preserve"> Hay varios métodos de análisis de tolerancias: Cuadrados-suma-raíz (RSS por sus siglas en ingles) y simulación Montecarlo son de los más utilizados. El método Monte Carlo es usado </w:t>
      </w:r>
      <w:r w:rsidRPr="00685387">
        <w:rPr>
          <w:sz w:val="20"/>
          <w:szCs w:val="20"/>
        </w:rPr>
        <w:lastRenderedPageBreak/>
        <w:t>típicamente con software de simulación de análisis de tolerancias u hojas de cálculo. Con el análisis de la tolerancia estadística, se puede obtener el mismo tipo de información numérica.</w:t>
      </w:r>
    </w:p>
    <w:p w:rsidR="00A7044D" w:rsidRPr="00685387" w:rsidRDefault="00A7044D" w:rsidP="00A7044D">
      <w:pPr>
        <w:spacing w:after="0" w:line="360" w:lineRule="auto"/>
        <w:jc w:val="both"/>
        <w:rPr>
          <w:sz w:val="20"/>
          <w:szCs w:val="20"/>
        </w:rPr>
      </w:pPr>
      <w:r w:rsidRPr="00685387">
        <w:rPr>
          <w:sz w:val="20"/>
          <w:szCs w:val="20"/>
        </w:rPr>
        <w:t>Los análisis estadísticos de tolerancia también pueden ser usados ​​para obtener las predicciones del número de defectos que se pueden encontrar (porcentaje de defectos) para una población de piezas y conjuntos.</w:t>
      </w:r>
    </w:p>
    <w:p w:rsidR="00A7044D" w:rsidRPr="00685387" w:rsidRDefault="00A7044D" w:rsidP="00A7044D">
      <w:pPr>
        <w:spacing w:after="0" w:line="360" w:lineRule="auto"/>
        <w:jc w:val="both"/>
        <w:rPr>
          <w:sz w:val="20"/>
          <w:szCs w:val="20"/>
        </w:rPr>
      </w:pPr>
      <w:r w:rsidRPr="00685387">
        <w:rPr>
          <w:sz w:val="20"/>
          <w:szCs w:val="20"/>
        </w:rPr>
        <w:t>El método RSS (cuadrados- suma-raíz) toma cada valor de tolerancia, los eleva al cuadrado, suma los valores al cuadrado de las tolerancias y calcula la raíz cuadrada del resultado.</w:t>
      </w:r>
    </w:p>
    <w:p w:rsidR="00A7044D" w:rsidRPr="00685387" w:rsidRDefault="00A7044D" w:rsidP="00A7044D">
      <w:pPr>
        <w:spacing w:after="0" w:line="360" w:lineRule="auto"/>
        <w:ind w:left="360"/>
        <w:jc w:val="both"/>
        <w:rPr>
          <w:rFonts w:eastAsiaTheme="minorEastAsia"/>
          <w:sz w:val="20"/>
          <w:szCs w:val="20"/>
        </w:rPr>
      </w:pPr>
      <m:oMathPara>
        <m:oMath>
          <m:r>
            <w:rPr>
              <w:rFonts w:ascii="Cambria Math" w:eastAsiaTheme="minorEastAsia" w:hAnsi="Cambria Math"/>
              <w:sz w:val="20"/>
              <w:szCs w:val="20"/>
            </w:rPr>
            <m:t>RSS=</m:t>
          </m:r>
          <m:rad>
            <m:radPr>
              <m:degHide m:val="1"/>
              <m:ctrlPr>
                <w:rPr>
                  <w:rFonts w:ascii="Cambria Math" w:hAnsi="Cambria Math"/>
                  <w:i/>
                  <w:sz w:val="20"/>
                  <w:szCs w:val="20"/>
                </w:rPr>
              </m:ctrlPr>
            </m:radPr>
            <m:deg/>
            <m:e>
              <m:sSup>
                <m:sSupPr>
                  <m:ctrlPr>
                    <w:rPr>
                      <w:rFonts w:ascii="Cambria Math" w:hAnsi="Cambria Math"/>
                      <w:i/>
                      <w:sz w:val="20"/>
                      <w:szCs w:val="20"/>
                    </w:rPr>
                  </m:ctrlPr>
                </m:sSup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1</m:t>
                      </m:r>
                    </m:sub>
                  </m:sSub>
                </m:e>
                <m:sup>
                  <m:r>
                    <w:rPr>
                      <w:rFonts w:ascii="Cambria Math" w:hAnsi="Cambria Math"/>
                      <w:sz w:val="20"/>
                      <w:szCs w:val="20"/>
                    </w:rPr>
                    <m:t>2</m:t>
                  </m:r>
                </m:sup>
              </m:sSup>
              <m:r>
                <w:rPr>
                  <w:rFonts w:ascii="Cambria Math" w:hAnsi="Cambria Math"/>
                  <w:sz w:val="20"/>
                  <w:szCs w:val="20"/>
                </w:rPr>
                <m:t>+</m:t>
              </m:r>
              <m:sSup>
                <m:sSupPr>
                  <m:ctrlPr>
                    <w:rPr>
                      <w:rFonts w:ascii="Cambria Math" w:hAnsi="Cambria Math"/>
                      <w:i/>
                      <w:sz w:val="20"/>
                      <w:szCs w:val="20"/>
                    </w:rPr>
                  </m:ctrlPr>
                </m:sSup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2</m:t>
                      </m:r>
                    </m:sub>
                  </m:sSub>
                </m:e>
                <m:sup>
                  <m:r>
                    <w:rPr>
                      <w:rFonts w:ascii="Cambria Math" w:hAnsi="Cambria Math"/>
                      <w:sz w:val="20"/>
                      <w:szCs w:val="20"/>
                    </w:rPr>
                    <m:t>2</m:t>
                  </m:r>
                </m:sup>
              </m:sSup>
              <m:r>
                <w:rPr>
                  <w:rFonts w:ascii="Cambria Math" w:hAnsi="Cambria Math"/>
                  <w:sz w:val="20"/>
                  <w:szCs w:val="20"/>
                </w:rPr>
                <m:t>+</m:t>
              </m:r>
              <m:sSup>
                <m:sSupPr>
                  <m:ctrlPr>
                    <w:rPr>
                      <w:rFonts w:ascii="Cambria Math" w:hAnsi="Cambria Math"/>
                      <w:i/>
                      <w:sz w:val="20"/>
                      <w:szCs w:val="20"/>
                    </w:rPr>
                  </m:ctrlPr>
                </m:sSup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3</m:t>
                      </m:r>
                    </m:sub>
                  </m:sSub>
                </m:e>
                <m:sup>
                  <m:r>
                    <w:rPr>
                      <w:rFonts w:ascii="Cambria Math" w:hAnsi="Cambria Math"/>
                      <w:sz w:val="20"/>
                      <w:szCs w:val="20"/>
                    </w:rPr>
                    <m:t>2</m:t>
                  </m:r>
                </m:sup>
              </m:sSup>
              <m:r>
                <w:rPr>
                  <w:rFonts w:ascii="Cambria Math" w:hAnsi="Cambria Math"/>
                  <w:sz w:val="20"/>
                  <w:szCs w:val="20"/>
                </w:rPr>
                <m:t>…</m:t>
              </m:r>
              <m:sSup>
                <m:sSupPr>
                  <m:ctrlPr>
                    <w:rPr>
                      <w:rFonts w:ascii="Cambria Math" w:hAnsi="Cambria Math"/>
                      <w:i/>
                      <w:sz w:val="20"/>
                      <w:szCs w:val="20"/>
                    </w:rPr>
                  </m:ctrlPr>
                </m:sSup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n</m:t>
                      </m:r>
                    </m:sub>
                  </m:sSub>
                </m:e>
                <m:sup>
                  <m:r>
                    <w:rPr>
                      <w:rFonts w:ascii="Cambria Math" w:hAnsi="Cambria Math"/>
                      <w:sz w:val="20"/>
                      <w:szCs w:val="20"/>
                    </w:rPr>
                    <m:t>2</m:t>
                  </m:r>
                </m:sup>
              </m:sSup>
            </m:e>
          </m:rad>
        </m:oMath>
      </m:oMathPara>
    </w:p>
    <w:p w:rsidR="006F2C64" w:rsidRPr="00685387" w:rsidRDefault="00A7044D" w:rsidP="00A7044D">
      <w:pPr>
        <w:spacing w:after="0" w:line="360" w:lineRule="auto"/>
        <w:jc w:val="both"/>
        <w:rPr>
          <w:sz w:val="20"/>
          <w:szCs w:val="20"/>
        </w:rPr>
      </w:pPr>
      <w:r w:rsidRPr="00685387">
        <w:rPr>
          <w:sz w:val="20"/>
          <w:szCs w:val="20"/>
        </w:rPr>
        <w:t>En la práctica, es probable que los procesos utilizados para la fabricación de todas las características de la pieza en una acumulación de tolerancias y sus tolerancias asociadas no son controladas para al mismo nivel.</w:t>
      </w:r>
    </w:p>
    <w:p w:rsidR="00A7044D" w:rsidRPr="00685387" w:rsidRDefault="00A7044D" w:rsidP="00A7044D">
      <w:pPr>
        <w:spacing w:after="0" w:line="360" w:lineRule="auto"/>
        <w:jc w:val="both"/>
        <w:rPr>
          <w:sz w:val="20"/>
          <w:szCs w:val="20"/>
        </w:rPr>
      </w:pPr>
      <w:r w:rsidRPr="00685387">
        <w:rPr>
          <w:b/>
          <w:sz w:val="20"/>
          <w:szCs w:val="20"/>
        </w:rPr>
        <w:t>Acumulación estadística de tolerancias con dimensiones.</w:t>
      </w:r>
    </w:p>
    <w:p w:rsidR="00A7044D" w:rsidRPr="00685387" w:rsidRDefault="00A7044D" w:rsidP="00A7044D">
      <w:pPr>
        <w:spacing w:after="0" w:line="360" w:lineRule="auto"/>
        <w:jc w:val="both"/>
        <w:rPr>
          <w:b/>
          <w:sz w:val="20"/>
          <w:szCs w:val="20"/>
        </w:rPr>
      </w:pPr>
    </w:p>
    <w:p w:rsidR="00A7044D" w:rsidRPr="00685387" w:rsidRDefault="00A7044D" w:rsidP="00A7044D">
      <w:pPr>
        <w:pStyle w:val="Prrafodelista"/>
        <w:numPr>
          <w:ilvl w:val="0"/>
          <w:numId w:val="2"/>
        </w:numPr>
        <w:spacing w:after="0" w:line="360" w:lineRule="auto"/>
        <w:ind w:left="284" w:hanging="284"/>
        <w:jc w:val="both"/>
        <w:rPr>
          <w:rFonts w:ascii="Arial" w:hAnsi="Arial" w:cs="Arial"/>
          <w:sz w:val="20"/>
          <w:szCs w:val="20"/>
        </w:rPr>
      </w:pPr>
      <w:r w:rsidRPr="00685387">
        <w:rPr>
          <w:rFonts w:ascii="Arial" w:hAnsi="Arial" w:cs="Arial"/>
          <w:sz w:val="20"/>
          <w:szCs w:val="20"/>
        </w:rPr>
        <w:t>Determine la distancia cuya variación será determinada. (Punto A y B)</w:t>
      </w:r>
    </w:p>
    <w:p w:rsidR="00A7044D" w:rsidRPr="00685387" w:rsidRDefault="00A7044D" w:rsidP="00A7044D">
      <w:pPr>
        <w:pStyle w:val="Prrafodelista"/>
        <w:numPr>
          <w:ilvl w:val="0"/>
          <w:numId w:val="2"/>
        </w:numPr>
        <w:spacing w:after="0" w:line="360" w:lineRule="auto"/>
        <w:ind w:left="284" w:hanging="284"/>
        <w:jc w:val="both"/>
        <w:rPr>
          <w:rFonts w:ascii="Arial" w:hAnsi="Arial" w:cs="Arial"/>
          <w:sz w:val="20"/>
          <w:szCs w:val="20"/>
        </w:rPr>
      </w:pPr>
      <w:r w:rsidRPr="00685387">
        <w:rPr>
          <w:rFonts w:ascii="Arial" w:hAnsi="Arial" w:cs="Arial"/>
          <w:sz w:val="20"/>
          <w:szCs w:val="20"/>
        </w:rPr>
        <w:t>Determine si será análisis de una, dos o tres dimensiones.</w:t>
      </w:r>
    </w:p>
    <w:p w:rsidR="00A7044D" w:rsidRPr="00685387" w:rsidRDefault="00A7044D" w:rsidP="00A7044D">
      <w:pPr>
        <w:pStyle w:val="Prrafodelista"/>
        <w:numPr>
          <w:ilvl w:val="0"/>
          <w:numId w:val="3"/>
        </w:numPr>
        <w:spacing w:after="0" w:line="360" w:lineRule="auto"/>
        <w:ind w:left="709"/>
        <w:jc w:val="both"/>
        <w:rPr>
          <w:rFonts w:ascii="Arial" w:hAnsi="Arial" w:cs="Arial"/>
          <w:sz w:val="20"/>
          <w:szCs w:val="20"/>
        </w:rPr>
      </w:pPr>
      <w:r w:rsidRPr="00685387">
        <w:rPr>
          <w:rFonts w:ascii="Arial" w:hAnsi="Arial" w:cs="Arial"/>
          <w:sz w:val="20"/>
          <w:szCs w:val="20"/>
        </w:rPr>
        <w:t>Si es requerido un análisis de dos dimensiones, determinar  si ambas direcciones pueden ser resueltas en una dimensión usando trigonometría, sino una acumulación lineal de tolerancias no es apropiada, por lo que se recomienda usar un programa computacional para el análisis.</w:t>
      </w:r>
    </w:p>
    <w:p w:rsidR="00A7044D" w:rsidRPr="00685387" w:rsidRDefault="00A7044D" w:rsidP="00A7044D">
      <w:pPr>
        <w:pStyle w:val="Prrafodelista"/>
        <w:numPr>
          <w:ilvl w:val="0"/>
          <w:numId w:val="3"/>
        </w:numPr>
        <w:spacing w:after="0" w:line="360" w:lineRule="auto"/>
        <w:ind w:left="709"/>
        <w:jc w:val="both"/>
        <w:rPr>
          <w:rFonts w:ascii="Arial" w:hAnsi="Arial" w:cs="Arial"/>
          <w:sz w:val="20"/>
          <w:szCs w:val="20"/>
        </w:rPr>
      </w:pPr>
      <w:r w:rsidRPr="00685387">
        <w:rPr>
          <w:rFonts w:ascii="Arial" w:hAnsi="Arial" w:cs="Arial"/>
          <w:sz w:val="20"/>
          <w:szCs w:val="20"/>
        </w:rPr>
        <w:t>Si  es requerido un análisis de 3 dimensiones, entonces la acumulación linear de tolerancias no es posible, usar software computacional en su lugar.</w:t>
      </w:r>
    </w:p>
    <w:p w:rsidR="00A7044D" w:rsidRPr="00685387" w:rsidRDefault="00A7044D" w:rsidP="00A7044D">
      <w:pPr>
        <w:pStyle w:val="Prrafodelista"/>
        <w:numPr>
          <w:ilvl w:val="0"/>
          <w:numId w:val="2"/>
        </w:numPr>
        <w:spacing w:after="0" w:line="360" w:lineRule="auto"/>
        <w:ind w:left="284"/>
        <w:jc w:val="both"/>
        <w:rPr>
          <w:rFonts w:ascii="Arial" w:hAnsi="Arial" w:cs="Arial"/>
          <w:sz w:val="20"/>
          <w:szCs w:val="20"/>
        </w:rPr>
      </w:pPr>
      <w:r w:rsidRPr="00685387">
        <w:rPr>
          <w:rFonts w:ascii="Arial" w:hAnsi="Arial" w:cs="Arial"/>
          <w:sz w:val="20"/>
          <w:szCs w:val="20"/>
        </w:rPr>
        <w:t>Determinar dirección positiva y negativa.</w:t>
      </w:r>
    </w:p>
    <w:p w:rsidR="00A7044D" w:rsidRPr="00685387" w:rsidRDefault="00A7044D" w:rsidP="00A7044D">
      <w:pPr>
        <w:pStyle w:val="Prrafodelista"/>
        <w:numPr>
          <w:ilvl w:val="0"/>
          <w:numId w:val="2"/>
        </w:numPr>
        <w:spacing w:after="0" w:line="360" w:lineRule="auto"/>
        <w:ind w:left="284"/>
        <w:jc w:val="both"/>
        <w:rPr>
          <w:rFonts w:ascii="Arial" w:hAnsi="Arial" w:cs="Arial"/>
          <w:sz w:val="20"/>
          <w:szCs w:val="20"/>
        </w:rPr>
      </w:pPr>
      <w:r w:rsidRPr="00685387">
        <w:rPr>
          <w:rFonts w:ascii="Arial" w:hAnsi="Arial" w:cs="Arial"/>
          <w:sz w:val="20"/>
          <w:szCs w:val="20"/>
        </w:rPr>
        <w:t>Convierta todas las tolerancias y dimensiones en formato bilateral.</w:t>
      </w:r>
    </w:p>
    <w:p w:rsidR="00A7044D" w:rsidRPr="00685387" w:rsidRDefault="00A7044D" w:rsidP="00A7044D">
      <w:pPr>
        <w:pStyle w:val="Prrafodelista"/>
        <w:numPr>
          <w:ilvl w:val="0"/>
          <w:numId w:val="2"/>
        </w:numPr>
        <w:tabs>
          <w:tab w:val="left" w:pos="1860"/>
        </w:tabs>
        <w:spacing w:after="0" w:line="360" w:lineRule="auto"/>
        <w:ind w:left="284"/>
        <w:jc w:val="both"/>
        <w:rPr>
          <w:rFonts w:ascii="Arial" w:hAnsi="Arial" w:cs="Arial"/>
          <w:sz w:val="20"/>
          <w:szCs w:val="20"/>
        </w:rPr>
      </w:pPr>
      <w:r w:rsidRPr="00685387">
        <w:rPr>
          <w:rFonts w:ascii="Arial" w:hAnsi="Arial" w:cs="Arial"/>
          <w:sz w:val="20"/>
          <w:szCs w:val="20"/>
        </w:rPr>
        <w:t>Todas las dimensiones y tolerancias son vaciadas en una tabla para motivos de reporte.</w:t>
      </w:r>
    </w:p>
    <w:p w:rsidR="00A7044D" w:rsidRPr="00685387" w:rsidRDefault="00A7044D" w:rsidP="00A7044D">
      <w:pPr>
        <w:pStyle w:val="Prrafodelista"/>
        <w:numPr>
          <w:ilvl w:val="0"/>
          <w:numId w:val="2"/>
        </w:numPr>
        <w:spacing w:after="0" w:line="360" w:lineRule="auto"/>
        <w:ind w:left="284"/>
        <w:jc w:val="both"/>
        <w:rPr>
          <w:rFonts w:ascii="Arial" w:hAnsi="Arial" w:cs="Arial"/>
          <w:sz w:val="20"/>
          <w:szCs w:val="20"/>
        </w:rPr>
      </w:pPr>
      <w:r w:rsidRPr="00685387">
        <w:rPr>
          <w:rFonts w:ascii="Arial" w:hAnsi="Arial" w:cs="Arial"/>
          <w:noProof/>
          <w:sz w:val="20"/>
          <w:szCs w:val="20"/>
          <w:lang w:val="es-ES" w:eastAsia="es-ES"/>
        </w:rPr>
        <w:drawing>
          <wp:anchor distT="0" distB="0" distL="114300" distR="114300" simplePos="0" relativeHeight="251676160" behindDoc="0" locked="0" layoutInCell="1" allowOverlap="1">
            <wp:simplePos x="0" y="0"/>
            <wp:positionH relativeFrom="column">
              <wp:posOffset>3596640</wp:posOffset>
            </wp:positionH>
            <wp:positionV relativeFrom="paragraph">
              <wp:posOffset>-52705</wp:posOffset>
            </wp:positionV>
            <wp:extent cx="2657475" cy="3429000"/>
            <wp:effectExtent l="19050" t="0" r="9525" b="0"/>
            <wp:wrapThrough wrapText="bothSides">
              <wp:wrapPolygon edited="0">
                <wp:start x="-155" y="0"/>
                <wp:lineTo x="-155" y="21480"/>
                <wp:lineTo x="21677" y="21480"/>
                <wp:lineTo x="21677" y="0"/>
                <wp:lineTo x="-155" y="0"/>
              </wp:wrapPolygon>
            </wp:wrapThrough>
            <wp:docPr id="6"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srcRect l="43958" t="15652" r="23048" b="11884"/>
                    <a:stretch>
                      <a:fillRect/>
                    </a:stretch>
                  </pic:blipFill>
                  <pic:spPr bwMode="auto">
                    <a:xfrm>
                      <a:off x="0" y="0"/>
                      <a:ext cx="2657475" cy="3429000"/>
                    </a:xfrm>
                    <a:prstGeom prst="rect">
                      <a:avLst/>
                    </a:prstGeom>
                    <a:noFill/>
                    <a:ln w="9525">
                      <a:noFill/>
                      <a:miter lim="800000"/>
                      <a:headEnd/>
                      <a:tailEnd/>
                    </a:ln>
                  </pic:spPr>
                </pic:pic>
              </a:graphicData>
            </a:graphic>
          </wp:anchor>
        </w:drawing>
      </w:r>
      <w:r w:rsidRPr="00685387">
        <w:rPr>
          <w:rFonts w:ascii="Arial" w:hAnsi="Arial" w:cs="Arial"/>
          <w:sz w:val="20"/>
          <w:szCs w:val="20"/>
        </w:rPr>
        <w:t>Ponga el valor de la tolerancia en la columna correspondiente adyacente a las dimensiones y adyacente a esta el cuadrado de las tolerancias.</w:t>
      </w:r>
    </w:p>
    <w:p w:rsidR="00A7044D" w:rsidRPr="00685387" w:rsidRDefault="00A7044D" w:rsidP="00A7044D">
      <w:pPr>
        <w:pStyle w:val="Prrafodelista"/>
        <w:numPr>
          <w:ilvl w:val="0"/>
          <w:numId w:val="2"/>
        </w:numPr>
        <w:spacing w:after="0" w:line="360" w:lineRule="auto"/>
        <w:ind w:left="284"/>
        <w:jc w:val="both"/>
        <w:rPr>
          <w:rFonts w:ascii="Arial" w:hAnsi="Arial" w:cs="Arial"/>
          <w:sz w:val="20"/>
          <w:szCs w:val="20"/>
        </w:rPr>
      </w:pPr>
      <w:r w:rsidRPr="00685387">
        <w:rPr>
          <w:rFonts w:ascii="Arial" w:hAnsi="Arial" w:cs="Arial"/>
          <w:sz w:val="20"/>
          <w:szCs w:val="20"/>
        </w:rPr>
        <w:t>Sustraiga el total negativo del total positivo. Este valor será el valor nominal</w:t>
      </w:r>
    </w:p>
    <w:p w:rsidR="003467A7" w:rsidRPr="006C6DDB" w:rsidRDefault="00A7044D" w:rsidP="006C6DDB">
      <w:pPr>
        <w:pStyle w:val="Prrafodelista"/>
        <w:numPr>
          <w:ilvl w:val="0"/>
          <w:numId w:val="2"/>
        </w:numPr>
        <w:spacing w:after="120" w:line="360" w:lineRule="auto"/>
        <w:ind w:left="284"/>
        <w:jc w:val="both"/>
        <w:rPr>
          <w:rFonts w:ascii="Arial" w:hAnsi="Arial" w:cs="Arial"/>
          <w:sz w:val="20"/>
          <w:szCs w:val="20"/>
        </w:rPr>
      </w:pPr>
      <w:r w:rsidRPr="00685387">
        <w:rPr>
          <w:rFonts w:ascii="Arial" w:hAnsi="Arial" w:cs="Arial"/>
          <w:sz w:val="20"/>
          <w:szCs w:val="20"/>
        </w:rPr>
        <w:t>Aplique la tolerancia total estadística. Sumando o restando la tolerancia estadística de la dimensión nominal resulta en las distancias mínimas o máximas posibles.</w:t>
      </w:r>
    </w:p>
    <w:p w:rsidR="00731120" w:rsidRDefault="00A14121" w:rsidP="006C6DDB">
      <w:pPr>
        <w:tabs>
          <w:tab w:val="left" w:pos="2235"/>
        </w:tabs>
        <w:spacing w:after="120"/>
        <w:jc w:val="both"/>
        <w:rPr>
          <w:sz w:val="20"/>
          <w:szCs w:val="20"/>
        </w:rPr>
      </w:pPr>
      <w:sdt>
        <w:sdtPr>
          <w:rPr>
            <w:sz w:val="20"/>
            <w:szCs w:val="20"/>
          </w:rPr>
          <w:id w:val="1534915023"/>
          <w:citation/>
        </w:sdtPr>
        <w:sdtEndPr/>
        <w:sdtContent>
          <w:r w:rsidR="00AE2CBE" w:rsidRPr="00685387">
            <w:rPr>
              <w:sz w:val="20"/>
              <w:szCs w:val="20"/>
            </w:rPr>
            <w:fldChar w:fldCharType="begin"/>
          </w:r>
          <w:r w:rsidR="003467A7" w:rsidRPr="00685387">
            <w:rPr>
              <w:sz w:val="20"/>
              <w:szCs w:val="20"/>
            </w:rPr>
            <w:instrText xml:space="preserve"> CITATION Fis11 \l 2058 </w:instrText>
          </w:r>
          <w:r w:rsidR="00AE2CBE" w:rsidRPr="00685387">
            <w:rPr>
              <w:sz w:val="20"/>
              <w:szCs w:val="20"/>
            </w:rPr>
            <w:fldChar w:fldCharType="separate"/>
          </w:r>
          <w:r w:rsidR="00731120" w:rsidRPr="00685387">
            <w:rPr>
              <w:noProof/>
              <w:sz w:val="20"/>
              <w:szCs w:val="20"/>
            </w:rPr>
            <w:t>(Fischer, 2011)</w:t>
          </w:r>
          <w:r w:rsidR="00AE2CBE" w:rsidRPr="00685387">
            <w:rPr>
              <w:sz w:val="20"/>
              <w:szCs w:val="20"/>
            </w:rPr>
            <w:fldChar w:fldCharType="end"/>
          </w:r>
        </w:sdtContent>
      </w:sdt>
    </w:p>
    <w:p w:rsidR="006C6DDB" w:rsidRPr="00685387" w:rsidRDefault="006C6DDB" w:rsidP="003C2A75">
      <w:pPr>
        <w:tabs>
          <w:tab w:val="left" w:pos="2235"/>
        </w:tabs>
        <w:jc w:val="both"/>
        <w:rPr>
          <w:sz w:val="20"/>
          <w:szCs w:val="20"/>
        </w:rPr>
      </w:pPr>
    </w:p>
    <w:p w:rsidR="006C6DDB" w:rsidRDefault="006C6DDB" w:rsidP="003C2A75">
      <w:pPr>
        <w:tabs>
          <w:tab w:val="left" w:pos="2235"/>
        </w:tabs>
        <w:jc w:val="both"/>
        <w:rPr>
          <w:b/>
          <w:sz w:val="28"/>
        </w:rPr>
      </w:pPr>
    </w:p>
    <w:p w:rsidR="006C6DDB" w:rsidRDefault="006C6DDB" w:rsidP="003C2A75">
      <w:pPr>
        <w:tabs>
          <w:tab w:val="left" w:pos="2235"/>
        </w:tabs>
        <w:jc w:val="both"/>
        <w:rPr>
          <w:b/>
          <w:sz w:val="28"/>
        </w:rPr>
      </w:pPr>
    </w:p>
    <w:p w:rsidR="006C6DDB" w:rsidRDefault="006C6DDB" w:rsidP="003C2A75">
      <w:pPr>
        <w:tabs>
          <w:tab w:val="left" w:pos="2235"/>
        </w:tabs>
        <w:jc w:val="both"/>
        <w:rPr>
          <w:b/>
          <w:sz w:val="28"/>
        </w:rPr>
      </w:pPr>
    </w:p>
    <w:p w:rsidR="009F057E" w:rsidRDefault="009F057E" w:rsidP="003C2A75">
      <w:pPr>
        <w:tabs>
          <w:tab w:val="left" w:pos="2235"/>
        </w:tabs>
        <w:jc w:val="both"/>
        <w:rPr>
          <w:b/>
          <w:sz w:val="28"/>
        </w:rPr>
      </w:pPr>
    </w:p>
    <w:p w:rsidR="00654A56" w:rsidRDefault="00654A56" w:rsidP="003C2A75">
      <w:pPr>
        <w:tabs>
          <w:tab w:val="left" w:pos="2235"/>
        </w:tabs>
        <w:jc w:val="both"/>
        <w:rPr>
          <w:b/>
          <w:sz w:val="28"/>
        </w:rPr>
      </w:pPr>
    </w:p>
    <w:p w:rsidR="00654A56" w:rsidRDefault="00654A56" w:rsidP="003C2A75">
      <w:pPr>
        <w:tabs>
          <w:tab w:val="left" w:pos="2235"/>
        </w:tabs>
        <w:jc w:val="both"/>
        <w:rPr>
          <w:b/>
          <w:sz w:val="28"/>
        </w:rPr>
      </w:pPr>
    </w:p>
    <w:p w:rsidR="00654A56" w:rsidRDefault="00654A56" w:rsidP="003C2A75">
      <w:pPr>
        <w:tabs>
          <w:tab w:val="left" w:pos="2235"/>
        </w:tabs>
        <w:jc w:val="both"/>
        <w:rPr>
          <w:b/>
          <w:sz w:val="28"/>
        </w:rPr>
      </w:pPr>
    </w:p>
    <w:p w:rsidR="00654A56" w:rsidRDefault="00654A56" w:rsidP="003C2A75">
      <w:pPr>
        <w:tabs>
          <w:tab w:val="left" w:pos="2235"/>
        </w:tabs>
        <w:jc w:val="both"/>
        <w:rPr>
          <w:b/>
          <w:sz w:val="28"/>
        </w:rPr>
      </w:pPr>
    </w:p>
    <w:p w:rsidR="00654A56" w:rsidRDefault="00654A56" w:rsidP="003C2A75">
      <w:pPr>
        <w:tabs>
          <w:tab w:val="left" w:pos="2235"/>
        </w:tabs>
        <w:jc w:val="both"/>
        <w:rPr>
          <w:b/>
          <w:sz w:val="28"/>
        </w:rPr>
      </w:pPr>
    </w:p>
    <w:p w:rsidR="00654A56" w:rsidRDefault="00654A56" w:rsidP="003C2A75">
      <w:pPr>
        <w:tabs>
          <w:tab w:val="left" w:pos="2235"/>
        </w:tabs>
        <w:jc w:val="both"/>
        <w:rPr>
          <w:b/>
          <w:sz w:val="28"/>
        </w:rPr>
      </w:pPr>
    </w:p>
    <w:p w:rsidR="00654A56" w:rsidRDefault="00654A56" w:rsidP="003C2A75">
      <w:pPr>
        <w:tabs>
          <w:tab w:val="left" w:pos="2235"/>
        </w:tabs>
        <w:jc w:val="both"/>
        <w:rPr>
          <w:b/>
          <w:sz w:val="28"/>
        </w:rPr>
      </w:pPr>
    </w:p>
    <w:p w:rsidR="00654A56" w:rsidRDefault="00654A56" w:rsidP="003C2A75">
      <w:pPr>
        <w:tabs>
          <w:tab w:val="left" w:pos="2235"/>
        </w:tabs>
        <w:jc w:val="both"/>
        <w:rPr>
          <w:b/>
          <w:sz w:val="28"/>
        </w:rPr>
      </w:pPr>
    </w:p>
    <w:p w:rsidR="00654A56" w:rsidRDefault="00654A56" w:rsidP="003C2A75">
      <w:pPr>
        <w:tabs>
          <w:tab w:val="left" w:pos="2235"/>
        </w:tabs>
        <w:jc w:val="both"/>
        <w:rPr>
          <w:b/>
          <w:sz w:val="28"/>
        </w:rPr>
      </w:pPr>
    </w:p>
    <w:p w:rsidR="00654A56" w:rsidRDefault="00654A56" w:rsidP="003C2A75">
      <w:pPr>
        <w:tabs>
          <w:tab w:val="left" w:pos="2235"/>
        </w:tabs>
        <w:jc w:val="both"/>
        <w:rPr>
          <w:b/>
          <w:sz w:val="28"/>
        </w:rPr>
      </w:pPr>
    </w:p>
    <w:p w:rsidR="00654A56" w:rsidRDefault="00654A56" w:rsidP="003C2A75">
      <w:pPr>
        <w:tabs>
          <w:tab w:val="left" w:pos="2235"/>
        </w:tabs>
        <w:jc w:val="both"/>
        <w:rPr>
          <w:b/>
          <w:sz w:val="28"/>
        </w:rPr>
      </w:pPr>
    </w:p>
    <w:p w:rsidR="00654A56" w:rsidRDefault="00654A56" w:rsidP="003C2A75">
      <w:pPr>
        <w:tabs>
          <w:tab w:val="left" w:pos="2235"/>
        </w:tabs>
        <w:jc w:val="both"/>
        <w:rPr>
          <w:b/>
          <w:sz w:val="28"/>
        </w:rPr>
      </w:pPr>
    </w:p>
    <w:p w:rsidR="00654A56" w:rsidRDefault="00654A56" w:rsidP="003C2A75">
      <w:pPr>
        <w:tabs>
          <w:tab w:val="left" w:pos="2235"/>
        </w:tabs>
        <w:jc w:val="both"/>
        <w:rPr>
          <w:b/>
          <w:sz w:val="28"/>
        </w:rPr>
      </w:pPr>
    </w:p>
    <w:p w:rsidR="00654A56" w:rsidRDefault="00654A56" w:rsidP="003C2A75">
      <w:pPr>
        <w:tabs>
          <w:tab w:val="left" w:pos="2235"/>
        </w:tabs>
        <w:jc w:val="both"/>
        <w:rPr>
          <w:b/>
          <w:sz w:val="28"/>
        </w:rPr>
      </w:pPr>
    </w:p>
    <w:p w:rsidR="00E6173C" w:rsidRPr="00685387" w:rsidRDefault="00E6173C" w:rsidP="003C2A75">
      <w:pPr>
        <w:tabs>
          <w:tab w:val="left" w:pos="2235"/>
        </w:tabs>
        <w:jc w:val="both"/>
        <w:rPr>
          <w:sz w:val="20"/>
          <w:szCs w:val="20"/>
        </w:rPr>
      </w:pPr>
      <w:r w:rsidRPr="00685387">
        <w:rPr>
          <w:b/>
          <w:sz w:val="28"/>
        </w:rPr>
        <w:t>Capítulo 17.- Cálculo de tolerancias de componentes dado un requerimiento de tolerancia de ensamble final</w:t>
      </w:r>
    </w:p>
    <w:p w:rsidR="00E6173C" w:rsidRPr="00685387" w:rsidRDefault="00E6173C" w:rsidP="00E6173C"/>
    <w:p w:rsidR="00E6173C" w:rsidRPr="00685387" w:rsidRDefault="00E6173C" w:rsidP="00E6173C">
      <w:pPr>
        <w:spacing w:after="120" w:line="360" w:lineRule="auto"/>
        <w:jc w:val="both"/>
        <w:rPr>
          <w:sz w:val="20"/>
          <w:szCs w:val="20"/>
        </w:rPr>
      </w:pPr>
      <w:r w:rsidRPr="00685387">
        <w:rPr>
          <w:sz w:val="20"/>
          <w:szCs w:val="20"/>
        </w:rPr>
        <w:t>A veces, cuando un requerimiento de tolerancia de ensamblaje final es conocido, y las tolerancias deben determinarse permitiendo que el requerimiento final sea alcanzado. Esto ocurre comúnmente, cuando se ponen objetivos para el nivel de ensamblado o el nivel de producto terminado. Por ejemplo, los paneles automotrices deben cumplir con objetivos predeterminados de diseño y manufactura para calidad y ajuste. Los requerimientos de tolerancia para el ensamblaje final deben cumplirse cuando todos los sub-componentes hayan sido ensamblados.</w:t>
      </w:r>
    </w:p>
    <w:p w:rsidR="00E6173C" w:rsidRPr="00685387" w:rsidRDefault="00E6173C" w:rsidP="00E6173C">
      <w:pPr>
        <w:spacing w:after="120" w:line="360" w:lineRule="auto"/>
        <w:jc w:val="both"/>
        <w:rPr>
          <w:sz w:val="20"/>
          <w:szCs w:val="20"/>
        </w:rPr>
      </w:pPr>
      <w:r w:rsidRPr="00685387">
        <w:rPr>
          <w:sz w:val="20"/>
          <w:szCs w:val="20"/>
        </w:rPr>
        <w:t xml:space="preserve">A los ensamblajes complejos como los cuerpos de los vehículos se les da tolerancias usando una combinación de tolerancias “what-if” y con un software estadístico de modelado variacional. Las iteraciones son realizadas hasta que aparezca una combinación realizable de tolerancias de </w:t>
      </w:r>
      <w:r w:rsidRPr="00685387">
        <w:rPr>
          <w:sz w:val="20"/>
          <w:szCs w:val="20"/>
        </w:rPr>
        <w:lastRenderedPageBreak/>
        <w:t>componentes que de un resultado estadístico aceptable. Para que el análisis tenga sentido, las tolerancias de componentes deben seleccionarse de modo que estén dentro de las capacidades del proceso de manufactura. Cuando se demuestra que la tolerancia global no puede alcanzarse asignando tolerancias de componente realistas, la geometría del diseño debe ser alterada para que trabaje con una tolerancia mayor.</w:t>
      </w:r>
    </w:p>
    <w:p w:rsidR="00E6173C" w:rsidRPr="00685387" w:rsidRDefault="00DC3F9E" w:rsidP="00E6173C">
      <w:pPr>
        <w:spacing w:after="120" w:line="360" w:lineRule="auto"/>
        <w:jc w:val="both"/>
        <w:rPr>
          <w:sz w:val="20"/>
          <w:szCs w:val="20"/>
        </w:rPr>
      </w:pPr>
      <w:r w:rsidRPr="00685387">
        <w:rPr>
          <w:noProof/>
          <w:sz w:val="20"/>
          <w:szCs w:val="20"/>
          <w:lang w:val="es-ES" w:eastAsia="es-ES"/>
        </w:rPr>
        <w:drawing>
          <wp:anchor distT="0" distB="0" distL="114300" distR="114300" simplePos="0" relativeHeight="251667968" behindDoc="1" locked="0" layoutInCell="1" allowOverlap="1" wp14:anchorId="73327506" wp14:editId="71C05133">
            <wp:simplePos x="0" y="0"/>
            <wp:positionH relativeFrom="column">
              <wp:posOffset>167640</wp:posOffset>
            </wp:positionH>
            <wp:positionV relativeFrom="paragraph">
              <wp:posOffset>24130</wp:posOffset>
            </wp:positionV>
            <wp:extent cx="4486275" cy="2857500"/>
            <wp:effectExtent l="0" t="0" r="9525" b="0"/>
            <wp:wrapTight wrapText="bothSides">
              <wp:wrapPolygon edited="0">
                <wp:start x="0" y="0"/>
                <wp:lineTo x="0" y="21456"/>
                <wp:lineTo x="21554" y="21456"/>
                <wp:lineTo x="21554"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86275" cy="2857500"/>
                    </a:xfrm>
                    <a:prstGeom prst="rect">
                      <a:avLst/>
                    </a:prstGeom>
                    <a:noFill/>
                    <a:ln>
                      <a:noFill/>
                    </a:ln>
                  </pic:spPr>
                </pic:pic>
              </a:graphicData>
            </a:graphic>
          </wp:anchor>
        </w:drawing>
      </w:r>
    </w:p>
    <w:p w:rsidR="00E6173C" w:rsidRPr="00685387" w:rsidRDefault="00E6173C" w:rsidP="00E6173C">
      <w:pPr>
        <w:spacing w:after="120" w:line="360" w:lineRule="auto"/>
        <w:jc w:val="center"/>
        <w:rPr>
          <w:sz w:val="20"/>
          <w:szCs w:val="20"/>
        </w:rPr>
      </w:pPr>
      <w:r w:rsidRPr="00685387">
        <w:rPr>
          <w:sz w:val="20"/>
          <w:szCs w:val="20"/>
        </w:rPr>
        <w:t>Figura 17.1 Ensamblaje simple con objetivo de tolerancia de ensamble</w:t>
      </w:r>
    </w:p>
    <w:p w:rsidR="00E6173C" w:rsidRPr="00685387" w:rsidRDefault="00E6173C" w:rsidP="00E6173C">
      <w:pPr>
        <w:spacing w:after="120" w:line="360" w:lineRule="auto"/>
        <w:jc w:val="both"/>
        <w:rPr>
          <w:sz w:val="20"/>
          <w:szCs w:val="20"/>
        </w:rPr>
      </w:pPr>
    </w:p>
    <w:p w:rsidR="00E6173C" w:rsidRPr="00685387" w:rsidRDefault="00E6173C" w:rsidP="00E6173C">
      <w:pPr>
        <w:spacing w:after="120" w:line="360" w:lineRule="auto"/>
        <w:jc w:val="both"/>
        <w:rPr>
          <w:sz w:val="20"/>
          <w:szCs w:val="20"/>
        </w:rPr>
      </w:pPr>
    </w:p>
    <w:p w:rsidR="00E6173C" w:rsidRPr="00685387" w:rsidRDefault="00E6173C" w:rsidP="00E6173C">
      <w:pPr>
        <w:spacing w:after="120" w:line="360" w:lineRule="auto"/>
        <w:jc w:val="both"/>
        <w:rPr>
          <w:sz w:val="20"/>
          <w:szCs w:val="20"/>
        </w:rPr>
      </w:pPr>
    </w:p>
    <w:p w:rsidR="00E6173C" w:rsidRDefault="00E6173C" w:rsidP="00E6173C">
      <w:pPr>
        <w:spacing w:after="120" w:line="360" w:lineRule="auto"/>
        <w:jc w:val="both"/>
        <w:rPr>
          <w:sz w:val="20"/>
          <w:szCs w:val="20"/>
        </w:rPr>
      </w:pPr>
    </w:p>
    <w:p w:rsidR="00DC3F9E" w:rsidRPr="00685387" w:rsidRDefault="00DC3F9E" w:rsidP="00E6173C">
      <w:pPr>
        <w:spacing w:after="120" w:line="360" w:lineRule="auto"/>
        <w:jc w:val="both"/>
        <w:rPr>
          <w:sz w:val="20"/>
          <w:szCs w:val="20"/>
        </w:rPr>
      </w:pPr>
    </w:p>
    <w:p w:rsidR="00E6173C" w:rsidRPr="00685387" w:rsidRDefault="00E6173C" w:rsidP="00E6173C">
      <w:pPr>
        <w:spacing w:after="120" w:line="360" w:lineRule="auto"/>
        <w:jc w:val="both"/>
        <w:rPr>
          <w:sz w:val="20"/>
          <w:szCs w:val="20"/>
        </w:rPr>
      </w:pPr>
      <w:r w:rsidRPr="00685387">
        <w:rPr>
          <w:sz w:val="20"/>
          <w:szCs w:val="20"/>
        </w:rPr>
        <w:t>Este método “what-if” también funciona con acumulación de tolerancias simple. Las estimaciones de las tolerancias pueden ser introducidas en una hoja de cálculo, y los resultados ser estudiados. Una vez que se obtiene un resultado satisfactorio, el estudio está completo.</w:t>
      </w:r>
    </w:p>
    <w:p w:rsidR="00E6173C" w:rsidRPr="00685387" w:rsidRDefault="00E6173C" w:rsidP="00E6173C">
      <w:pPr>
        <w:spacing w:after="120" w:line="360" w:lineRule="auto"/>
        <w:jc w:val="both"/>
        <w:rPr>
          <w:sz w:val="20"/>
          <w:szCs w:val="20"/>
        </w:rPr>
      </w:pPr>
      <w:r w:rsidRPr="00685387">
        <w:rPr>
          <w:sz w:val="20"/>
          <w:szCs w:val="20"/>
        </w:rPr>
        <w:t>Otra técnica, mas precise, es el uso de la función Goal Seek en Microsoft Excel, la cual le permite al analista determinar el valor de la tolerancia requerida para la parte sin iteraciones. Utilizando ésta función el analista de tolerancias puede establecer el valor deseado de tolerancia de ensamblaje y pedir al programa que haga iteraciones con un valor de tolerancia para hallar la solución exacta. Esta es una muy poderosa herramienta.</w:t>
      </w:r>
    </w:p>
    <w:p w:rsidR="00E6173C" w:rsidRPr="00685387" w:rsidRDefault="00E6173C" w:rsidP="00E6173C">
      <w:pPr>
        <w:spacing w:after="120" w:line="360" w:lineRule="auto"/>
        <w:jc w:val="both"/>
        <w:rPr>
          <w:rFonts w:eastAsia="TimesLTStd-Roman"/>
          <w:b/>
          <w:sz w:val="20"/>
          <w:szCs w:val="18"/>
        </w:rPr>
      </w:pPr>
      <w:r w:rsidRPr="00685387">
        <w:rPr>
          <w:b/>
          <w:sz w:val="20"/>
          <w:szCs w:val="20"/>
        </w:rPr>
        <w:t xml:space="preserve">Fórmula de asignación de parte de cuadrado de suma de las raíces </w:t>
      </w:r>
      <w:r w:rsidRPr="00685387">
        <w:rPr>
          <w:rFonts w:eastAsia="TimesLTStd-Roman"/>
          <w:b/>
          <w:sz w:val="20"/>
          <w:szCs w:val="18"/>
        </w:rPr>
        <w:t>(Root Sum Square, RSS)</w:t>
      </w:r>
    </w:p>
    <w:p w:rsidR="00E6173C" w:rsidRPr="00685387" w:rsidRDefault="00E6173C" w:rsidP="00E6173C">
      <w:pPr>
        <w:spacing w:after="120" w:line="360" w:lineRule="auto"/>
        <w:jc w:val="both"/>
        <w:rPr>
          <w:rFonts w:eastAsia="TimesLTStd-Roman"/>
          <w:sz w:val="20"/>
          <w:szCs w:val="18"/>
        </w:rPr>
      </w:pPr>
      <m:oMathPara>
        <m:oMath>
          <m:r>
            <w:rPr>
              <w:rFonts w:ascii="Cambria Math" w:hAnsi="Cambria Math"/>
              <w:sz w:val="20"/>
              <w:szCs w:val="20"/>
            </w:rPr>
            <m:t>PT=</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TOL</m:t>
                  </m:r>
                </m:num>
                <m:den>
                  <m:rad>
                    <m:radPr>
                      <m:degHide m:val="1"/>
                      <m:ctrlPr>
                        <w:rPr>
                          <w:rFonts w:ascii="Cambria Math" w:hAnsi="Cambria Math"/>
                          <w:i/>
                          <w:sz w:val="20"/>
                          <w:szCs w:val="20"/>
                        </w:rPr>
                      </m:ctrlPr>
                    </m:radPr>
                    <m:deg/>
                    <m:e>
                      <m:r>
                        <w:rPr>
                          <w:rFonts w:ascii="Cambria Math" w:hAnsi="Cambria Math"/>
                          <w:sz w:val="20"/>
                          <w:szCs w:val="20"/>
                        </w:rPr>
                        <m:t>n</m:t>
                      </m:r>
                    </m:e>
                  </m:rad>
                </m:den>
              </m:f>
            </m:e>
          </m:d>
        </m:oMath>
      </m:oMathPara>
    </w:p>
    <w:p w:rsidR="00E6173C" w:rsidRPr="00685387" w:rsidRDefault="00E6173C" w:rsidP="00E6173C">
      <w:pPr>
        <w:spacing w:after="120" w:line="360" w:lineRule="auto"/>
        <w:jc w:val="center"/>
        <w:rPr>
          <w:rFonts w:eastAsiaTheme="minorEastAsia"/>
          <w:b/>
          <w:sz w:val="20"/>
          <w:szCs w:val="20"/>
        </w:rPr>
      </w:pPr>
      <w:r w:rsidRPr="00685387">
        <w:rPr>
          <w:rFonts w:eastAsiaTheme="minorEastAsia"/>
          <w:b/>
          <w:sz w:val="20"/>
          <w:szCs w:val="20"/>
        </w:rPr>
        <w:t>Dónde:</w:t>
      </w:r>
    </w:p>
    <w:p w:rsidR="00E6173C" w:rsidRPr="00685387" w:rsidRDefault="00E6173C" w:rsidP="00E6173C">
      <w:pPr>
        <w:spacing w:after="0" w:line="240" w:lineRule="auto"/>
        <w:jc w:val="center"/>
        <w:rPr>
          <w:rFonts w:eastAsiaTheme="minorEastAsia"/>
          <w:sz w:val="20"/>
          <w:szCs w:val="20"/>
        </w:rPr>
      </w:pPr>
      <w:r w:rsidRPr="00685387">
        <w:rPr>
          <w:rFonts w:eastAsiaTheme="minorEastAsia"/>
          <w:sz w:val="20"/>
          <w:szCs w:val="20"/>
        </w:rPr>
        <w:t>PT=tolerancia de parte (calculada)</w:t>
      </w:r>
    </w:p>
    <w:p w:rsidR="00E6173C" w:rsidRPr="00685387" w:rsidRDefault="00E6173C" w:rsidP="00E6173C">
      <w:pPr>
        <w:spacing w:after="0" w:line="240" w:lineRule="auto"/>
        <w:jc w:val="center"/>
        <w:rPr>
          <w:rFonts w:eastAsiaTheme="minorEastAsia"/>
          <w:sz w:val="20"/>
          <w:szCs w:val="20"/>
        </w:rPr>
      </w:pPr>
      <w:r w:rsidRPr="00685387">
        <w:rPr>
          <w:rFonts w:eastAsiaTheme="minorEastAsia"/>
          <w:sz w:val="20"/>
          <w:szCs w:val="20"/>
        </w:rPr>
        <w:t>n=número de partes en ensamblaje</w:t>
      </w:r>
    </w:p>
    <w:p w:rsidR="00E6173C" w:rsidRPr="00685387" w:rsidRDefault="00E6173C" w:rsidP="00E6173C">
      <w:pPr>
        <w:spacing w:after="0" w:line="240" w:lineRule="auto"/>
        <w:jc w:val="center"/>
        <w:rPr>
          <w:rFonts w:eastAsiaTheme="minorEastAsia"/>
          <w:sz w:val="20"/>
          <w:szCs w:val="20"/>
        </w:rPr>
      </w:pPr>
      <w:r w:rsidRPr="00685387">
        <w:rPr>
          <w:rFonts w:eastAsiaTheme="minorEastAsia"/>
          <w:sz w:val="20"/>
          <w:szCs w:val="20"/>
        </w:rPr>
        <w:t>TOL= tolerancia de brecha total (dada)</w:t>
      </w:r>
    </w:p>
    <w:p w:rsidR="00BE2ED1" w:rsidRPr="00685387" w:rsidRDefault="00BE2ED1" w:rsidP="00E6173C">
      <w:pPr>
        <w:spacing w:after="120" w:line="360" w:lineRule="auto"/>
        <w:rPr>
          <w:b/>
          <w:sz w:val="20"/>
          <w:szCs w:val="20"/>
        </w:rPr>
      </w:pPr>
    </w:p>
    <w:p w:rsidR="00E6173C" w:rsidRPr="00685387" w:rsidRDefault="00E6173C" w:rsidP="00E6173C">
      <w:pPr>
        <w:spacing w:after="120" w:line="360" w:lineRule="auto"/>
        <w:rPr>
          <w:b/>
          <w:szCs w:val="20"/>
        </w:rPr>
      </w:pPr>
      <w:r w:rsidRPr="00685387">
        <w:rPr>
          <w:rFonts w:eastAsia="TimesLTStd-Roman"/>
          <w:b/>
          <w:sz w:val="20"/>
          <w:szCs w:val="18"/>
        </w:rPr>
        <w:t>Formula de asignación de parte RSS ajustada</w:t>
      </w:r>
    </w:p>
    <w:p w:rsidR="00E6173C" w:rsidRPr="00685387" w:rsidRDefault="00E6173C" w:rsidP="00E6173C">
      <w:pPr>
        <w:spacing w:after="120" w:line="360" w:lineRule="auto"/>
        <w:jc w:val="center"/>
        <w:rPr>
          <w:rFonts w:eastAsiaTheme="minorEastAsia"/>
          <w:sz w:val="20"/>
          <w:szCs w:val="20"/>
        </w:rPr>
      </w:pPr>
      <m:oMathPara>
        <m:oMath>
          <m:r>
            <w:rPr>
              <w:rFonts w:ascii="Cambria Math" w:hAnsi="Cambria Math"/>
              <w:sz w:val="20"/>
              <w:szCs w:val="20"/>
            </w:rPr>
            <w:lastRenderedPageBreak/>
            <m:t>PT=</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TOL</m:t>
                  </m:r>
                </m:num>
                <m:den>
                  <m:r>
                    <w:rPr>
                      <w:rFonts w:ascii="Cambria Math" w:hAnsi="Cambria Math"/>
                      <w:sz w:val="20"/>
                      <w:szCs w:val="20"/>
                    </w:rPr>
                    <m:t xml:space="preserve">ADJ </m:t>
                  </m:r>
                  <m:rad>
                    <m:radPr>
                      <m:degHide m:val="1"/>
                      <m:ctrlPr>
                        <w:rPr>
                          <w:rFonts w:ascii="Cambria Math" w:hAnsi="Cambria Math"/>
                          <w:i/>
                          <w:sz w:val="20"/>
                          <w:szCs w:val="20"/>
                        </w:rPr>
                      </m:ctrlPr>
                    </m:radPr>
                    <m:deg/>
                    <m:e>
                      <m:r>
                        <w:rPr>
                          <w:rFonts w:ascii="Cambria Math" w:hAnsi="Cambria Math"/>
                          <w:sz w:val="20"/>
                          <w:szCs w:val="20"/>
                        </w:rPr>
                        <m:t>n</m:t>
                      </m:r>
                    </m:e>
                  </m:rad>
                </m:den>
              </m:f>
            </m:e>
          </m:d>
        </m:oMath>
      </m:oMathPara>
    </w:p>
    <w:p w:rsidR="00E6173C" w:rsidRPr="00685387" w:rsidRDefault="00E6173C" w:rsidP="00E6173C">
      <w:pPr>
        <w:spacing w:after="0" w:line="360" w:lineRule="auto"/>
        <w:jc w:val="center"/>
        <w:rPr>
          <w:rFonts w:eastAsiaTheme="minorEastAsia"/>
          <w:sz w:val="20"/>
          <w:szCs w:val="20"/>
        </w:rPr>
      </w:pPr>
      <w:r w:rsidRPr="00685387">
        <w:rPr>
          <w:rFonts w:eastAsiaTheme="minorEastAsia"/>
          <w:sz w:val="20"/>
          <w:szCs w:val="20"/>
        </w:rPr>
        <w:t>Dónde:</w:t>
      </w:r>
    </w:p>
    <w:p w:rsidR="00E6173C" w:rsidRPr="00685387" w:rsidRDefault="00E6173C" w:rsidP="00E6173C">
      <w:pPr>
        <w:spacing w:after="0" w:line="240" w:lineRule="auto"/>
        <w:jc w:val="center"/>
        <w:rPr>
          <w:rFonts w:eastAsiaTheme="minorEastAsia"/>
          <w:sz w:val="20"/>
          <w:szCs w:val="20"/>
        </w:rPr>
      </w:pPr>
      <w:r w:rsidRPr="00685387">
        <w:rPr>
          <w:rFonts w:eastAsiaTheme="minorEastAsia"/>
          <w:sz w:val="20"/>
          <w:szCs w:val="20"/>
        </w:rPr>
        <w:t>PT=tolerancia de parte (calculada)</w:t>
      </w:r>
    </w:p>
    <w:p w:rsidR="00E6173C" w:rsidRPr="00685387" w:rsidRDefault="00E6173C" w:rsidP="00E6173C">
      <w:pPr>
        <w:spacing w:after="0" w:line="240" w:lineRule="auto"/>
        <w:jc w:val="center"/>
        <w:rPr>
          <w:rFonts w:eastAsiaTheme="minorEastAsia"/>
          <w:sz w:val="20"/>
          <w:szCs w:val="20"/>
        </w:rPr>
      </w:pPr>
      <w:r w:rsidRPr="00685387">
        <w:rPr>
          <w:rFonts w:eastAsiaTheme="minorEastAsia"/>
          <w:sz w:val="20"/>
          <w:szCs w:val="20"/>
        </w:rPr>
        <w:t>n=número de partes en ensamblaje</w:t>
      </w:r>
    </w:p>
    <w:p w:rsidR="00E6173C" w:rsidRPr="00685387" w:rsidRDefault="00E6173C" w:rsidP="00E6173C">
      <w:pPr>
        <w:spacing w:after="0" w:line="240" w:lineRule="auto"/>
        <w:jc w:val="center"/>
        <w:rPr>
          <w:rFonts w:eastAsiaTheme="minorEastAsia"/>
          <w:sz w:val="20"/>
          <w:szCs w:val="20"/>
        </w:rPr>
      </w:pPr>
      <w:r w:rsidRPr="00685387">
        <w:rPr>
          <w:rFonts w:eastAsiaTheme="minorEastAsia"/>
          <w:sz w:val="20"/>
          <w:szCs w:val="20"/>
        </w:rPr>
        <w:t>TOL= tolerancia de brecha total (dada)</w:t>
      </w:r>
    </w:p>
    <w:p w:rsidR="00E6173C" w:rsidRPr="00685387" w:rsidRDefault="00E6173C" w:rsidP="00E6173C">
      <w:pPr>
        <w:spacing w:after="0" w:line="240" w:lineRule="auto"/>
        <w:jc w:val="center"/>
        <w:rPr>
          <w:rFonts w:eastAsiaTheme="minorEastAsia"/>
          <w:sz w:val="20"/>
          <w:szCs w:val="20"/>
        </w:rPr>
      </w:pPr>
      <w:r w:rsidRPr="00685387">
        <w:rPr>
          <w:rFonts w:eastAsiaTheme="minorEastAsia"/>
          <w:sz w:val="20"/>
          <w:szCs w:val="20"/>
        </w:rPr>
        <w:t>ADJ= factor de ajuste RSS</w:t>
      </w:r>
    </w:p>
    <w:p w:rsidR="00E6173C" w:rsidRPr="00685387" w:rsidRDefault="00E6173C" w:rsidP="00E6173C">
      <w:pPr>
        <w:spacing w:after="0" w:line="240" w:lineRule="auto"/>
        <w:jc w:val="center"/>
        <w:rPr>
          <w:rFonts w:eastAsiaTheme="minorEastAsia"/>
          <w:sz w:val="20"/>
          <w:szCs w:val="20"/>
        </w:rPr>
      </w:pPr>
      <w:r w:rsidRPr="00685387">
        <w:rPr>
          <w:rFonts w:eastAsiaTheme="minorEastAsia"/>
          <w:sz w:val="20"/>
          <w:szCs w:val="20"/>
        </w:rPr>
        <w:t>Nota: usar ADJ=1 para acumulación simple (no hay factor de ajuste)</w:t>
      </w:r>
    </w:p>
    <w:p w:rsidR="00E6173C" w:rsidRPr="00685387" w:rsidRDefault="00E6173C" w:rsidP="00E6173C">
      <w:pPr>
        <w:spacing w:after="0" w:line="240" w:lineRule="auto"/>
        <w:jc w:val="center"/>
        <w:rPr>
          <w:rFonts w:eastAsiaTheme="minorEastAsia"/>
          <w:sz w:val="20"/>
          <w:szCs w:val="20"/>
        </w:rPr>
      </w:pPr>
    </w:p>
    <w:p w:rsidR="00E6173C" w:rsidRPr="00685387" w:rsidRDefault="00E6173C" w:rsidP="00E6173C">
      <w:pPr>
        <w:spacing w:after="120" w:line="360" w:lineRule="auto"/>
        <w:jc w:val="both"/>
        <w:rPr>
          <w:sz w:val="20"/>
          <w:szCs w:val="20"/>
        </w:rPr>
      </w:pPr>
      <w:r w:rsidRPr="00685387">
        <w:rPr>
          <w:rFonts w:eastAsia="TimesLTStd-Roman"/>
          <w:sz w:val="20"/>
          <w:szCs w:val="20"/>
        </w:rPr>
        <w:t>Estas fórmulas ofrecen un modo más simple de calcular los valores para un juego de tolerancias del mismo valor. El resultado de estas fórmulas y los resultados estadísticos y estadísticos ajustados del formulario de reporte de acumulación de tolerancias serán las mismas dadas las mismas entradas y el mismo factor de ajuste RSS.</w:t>
      </w:r>
    </w:p>
    <w:p w:rsidR="00E6173C" w:rsidRPr="00685387" w:rsidRDefault="00A14121" w:rsidP="00E6173C">
      <w:pPr>
        <w:spacing w:after="0" w:line="360" w:lineRule="auto"/>
        <w:jc w:val="both"/>
        <w:rPr>
          <w:sz w:val="20"/>
          <w:szCs w:val="20"/>
        </w:rPr>
      </w:pPr>
      <w:sdt>
        <w:sdtPr>
          <w:rPr>
            <w:sz w:val="20"/>
            <w:szCs w:val="20"/>
          </w:rPr>
          <w:id w:val="-2007497626"/>
          <w:citation/>
        </w:sdtPr>
        <w:sdtEndPr/>
        <w:sdtContent>
          <w:r w:rsidR="00AE2CBE" w:rsidRPr="00685387">
            <w:rPr>
              <w:sz w:val="20"/>
              <w:szCs w:val="20"/>
            </w:rPr>
            <w:fldChar w:fldCharType="begin"/>
          </w:r>
          <w:r w:rsidR="00E6173C" w:rsidRPr="00685387">
            <w:rPr>
              <w:sz w:val="20"/>
              <w:szCs w:val="20"/>
            </w:rPr>
            <w:instrText xml:space="preserve"> CITATION Fis11 \l 2058 </w:instrText>
          </w:r>
          <w:r w:rsidR="00AE2CBE" w:rsidRPr="00685387">
            <w:rPr>
              <w:sz w:val="20"/>
              <w:szCs w:val="20"/>
            </w:rPr>
            <w:fldChar w:fldCharType="separate"/>
          </w:r>
          <w:r w:rsidR="00731120" w:rsidRPr="00685387">
            <w:rPr>
              <w:noProof/>
              <w:sz w:val="20"/>
              <w:szCs w:val="20"/>
            </w:rPr>
            <w:t>(Fischer, 2011)</w:t>
          </w:r>
          <w:r w:rsidR="00AE2CBE" w:rsidRPr="00685387">
            <w:rPr>
              <w:sz w:val="20"/>
              <w:szCs w:val="20"/>
            </w:rPr>
            <w:fldChar w:fldCharType="end"/>
          </w:r>
        </w:sdtContent>
      </w:sdt>
    </w:p>
    <w:p w:rsidR="00A47A2C" w:rsidRDefault="00A47A2C" w:rsidP="003C2A75">
      <w:pPr>
        <w:spacing w:line="360" w:lineRule="auto"/>
        <w:jc w:val="both"/>
        <w:rPr>
          <w:sz w:val="20"/>
          <w:szCs w:val="20"/>
        </w:rPr>
      </w:pPr>
    </w:p>
    <w:p w:rsidR="00763B13" w:rsidRDefault="00763B13" w:rsidP="003C2A75">
      <w:pPr>
        <w:spacing w:line="360" w:lineRule="auto"/>
        <w:jc w:val="both"/>
        <w:rPr>
          <w:sz w:val="20"/>
          <w:szCs w:val="20"/>
        </w:rPr>
      </w:pPr>
    </w:p>
    <w:p w:rsidR="00763B13" w:rsidRDefault="00763B13" w:rsidP="003C2A75">
      <w:pPr>
        <w:spacing w:line="360" w:lineRule="auto"/>
        <w:jc w:val="both"/>
        <w:rPr>
          <w:sz w:val="20"/>
          <w:szCs w:val="20"/>
        </w:rPr>
      </w:pPr>
    </w:p>
    <w:p w:rsidR="00763B13" w:rsidRDefault="00763B13" w:rsidP="003C2A75">
      <w:pPr>
        <w:spacing w:line="360" w:lineRule="auto"/>
        <w:jc w:val="both"/>
        <w:rPr>
          <w:sz w:val="20"/>
          <w:szCs w:val="20"/>
        </w:rPr>
      </w:pPr>
    </w:p>
    <w:p w:rsidR="00763B13" w:rsidRDefault="00763B13" w:rsidP="003C2A75">
      <w:pPr>
        <w:spacing w:line="360" w:lineRule="auto"/>
        <w:jc w:val="both"/>
        <w:rPr>
          <w:sz w:val="20"/>
          <w:szCs w:val="20"/>
        </w:rPr>
      </w:pPr>
    </w:p>
    <w:p w:rsidR="00763B13" w:rsidRPr="00685387" w:rsidRDefault="00763B13" w:rsidP="003C2A75">
      <w:pPr>
        <w:spacing w:line="360" w:lineRule="auto"/>
        <w:jc w:val="both"/>
        <w:rPr>
          <w:sz w:val="20"/>
          <w:szCs w:val="20"/>
        </w:rPr>
      </w:pPr>
    </w:p>
    <w:p w:rsidR="00A47A2C" w:rsidRPr="00685387" w:rsidRDefault="00A47A2C" w:rsidP="00A47A2C">
      <w:pPr>
        <w:pStyle w:val="Ttulo1"/>
        <w:rPr>
          <w:rFonts w:ascii="Arial" w:hAnsi="Arial" w:cs="Arial"/>
          <w:b/>
          <w:color w:val="auto"/>
          <w:sz w:val="28"/>
        </w:rPr>
      </w:pPr>
      <w:bookmarkStart w:id="3" w:name="_Toc372753068"/>
      <w:r w:rsidRPr="00685387">
        <w:rPr>
          <w:rFonts w:ascii="Arial" w:hAnsi="Arial" w:cs="Arial"/>
          <w:b/>
          <w:color w:val="auto"/>
          <w:sz w:val="28"/>
        </w:rPr>
        <w:t>Capítulo 18.- Fórmulas y consideraciones de sujetadores flotantes y sujetadores fijos</w:t>
      </w:r>
      <w:bookmarkEnd w:id="3"/>
    </w:p>
    <w:p w:rsidR="00A47A2C" w:rsidRPr="00685387" w:rsidRDefault="00A47A2C" w:rsidP="00A47A2C">
      <w:pPr>
        <w:spacing w:after="120" w:line="360" w:lineRule="auto"/>
        <w:jc w:val="both"/>
        <w:rPr>
          <w:sz w:val="20"/>
          <w:szCs w:val="20"/>
        </w:rPr>
      </w:pPr>
    </w:p>
    <w:p w:rsidR="00A47A2C" w:rsidRPr="00685387" w:rsidRDefault="00A47A2C" w:rsidP="00A47A2C">
      <w:pPr>
        <w:spacing w:after="120" w:line="360" w:lineRule="auto"/>
        <w:jc w:val="both"/>
        <w:rPr>
          <w:sz w:val="20"/>
          <w:szCs w:val="20"/>
        </w:rPr>
      </w:pPr>
      <w:r w:rsidRPr="00685387">
        <w:rPr>
          <w:sz w:val="20"/>
          <w:szCs w:val="20"/>
        </w:rPr>
        <w:t>Sujetador flotante y sujetador fijo son términos que describen dos posibles relaciones entre las características correspondientes en piezas de acoplamiento. Estas características incluyen agujeros de paso, agujeros apretados, agujeros roscados, ranuras, alfileres, clavos, llaves, chavetas, etc.</w:t>
      </w:r>
    </w:p>
    <w:p w:rsidR="00A47A2C" w:rsidRPr="00685387" w:rsidRDefault="00A47A2C" w:rsidP="00A47A2C">
      <w:pPr>
        <w:spacing w:after="120" w:line="360" w:lineRule="auto"/>
        <w:jc w:val="both"/>
        <w:rPr>
          <w:sz w:val="20"/>
          <w:szCs w:val="20"/>
        </w:rPr>
      </w:pPr>
      <w:r w:rsidRPr="00685387">
        <w:rPr>
          <w:sz w:val="20"/>
          <w:szCs w:val="20"/>
        </w:rPr>
        <w:t>La tolerancia para cada situación se determina por la relación del sujetador, pasador o eje de los agujeros en cada parte.</w:t>
      </w:r>
    </w:p>
    <w:p w:rsidR="00A47A2C" w:rsidRPr="00685387" w:rsidRDefault="00A47A2C" w:rsidP="00A47A2C">
      <w:pPr>
        <w:spacing w:after="120" w:line="360" w:lineRule="auto"/>
        <w:jc w:val="both"/>
        <w:rPr>
          <w:b/>
          <w:sz w:val="20"/>
          <w:szCs w:val="20"/>
        </w:rPr>
      </w:pPr>
      <w:r w:rsidRPr="00685387">
        <w:rPr>
          <w:b/>
          <w:sz w:val="20"/>
          <w:szCs w:val="20"/>
        </w:rPr>
        <w:t>Situación de Sujetador Flotante</w:t>
      </w:r>
    </w:p>
    <w:p w:rsidR="00A47A2C" w:rsidRPr="00685387" w:rsidRDefault="00A47A2C" w:rsidP="00763B13">
      <w:pPr>
        <w:spacing w:after="120" w:line="360" w:lineRule="auto"/>
        <w:jc w:val="both"/>
        <w:rPr>
          <w:sz w:val="20"/>
          <w:szCs w:val="20"/>
        </w:rPr>
      </w:pPr>
      <w:r w:rsidRPr="00685387">
        <w:rPr>
          <w:sz w:val="20"/>
          <w:szCs w:val="20"/>
        </w:rPr>
        <w:t xml:space="preserve">Definición: Cuando las características internas, tales como los agujeros, en una o más partes deben aclarar una característica externa común, tales como un sujetador o un eje, se conoce como una situación de sujetador flotante. Corolario: Los agujeros no localizan el sujetador en una situación de sujeción flotante. El sujetador es libre de "flotar" dentro de los agujeros. </w:t>
      </w:r>
    </w:p>
    <w:p w:rsidR="00A47A2C" w:rsidRPr="00685387" w:rsidRDefault="00A47A2C" w:rsidP="00A47A2C">
      <w:pPr>
        <w:spacing w:after="120" w:line="360" w:lineRule="auto"/>
        <w:jc w:val="center"/>
        <w:rPr>
          <w:b/>
          <w:i/>
          <w:sz w:val="20"/>
          <w:szCs w:val="20"/>
        </w:rPr>
      </w:pPr>
      <w:r w:rsidRPr="00685387">
        <w:rPr>
          <w:b/>
          <w:i/>
          <w:sz w:val="20"/>
          <w:szCs w:val="20"/>
        </w:rPr>
        <w:lastRenderedPageBreak/>
        <w:t>Fórmula del Sujetador Flotante: H = F + T</w:t>
      </w:r>
    </w:p>
    <w:p w:rsidR="00A47A2C" w:rsidRPr="00685387" w:rsidRDefault="00A47A2C" w:rsidP="00A47A2C">
      <w:pPr>
        <w:spacing w:after="120" w:line="360" w:lineRule="auto"/>
        <w:jc w:val="center"/>
        <w:rPr>
          <w:sz w:val="20"/>
          <w:szCs w:val="20"/>
        </w:rPr>
      </w:pPr>
      <w:r w:rsidRPr="00685387">
        <w:rPr>
          <w:sz w:val="20"/>
          <w:szCs w:val="20"/>
        </w:rPr>
        <w:t>Donde:</w:t>
      </w:r>
    </w:p>
    <w:p w:rsidR="00A47A2C" w:rsidRPr="00685387" w:rsidRDefault="00A47A2C" w:rsidP="00A47A2C">
      <w:pPr>
        <w:spacing w:after="120" w:line="360" w:lineRule="auto"/>
        <w:jc w:val="center"/>
        <w:rPr>
          <w:sz w:val="20"/>
          <w:szCs w:val="20"/>
        </w:rPr>
      </w:pPr>
      <w:r w:rsidRPr="00685387">
        <w:rPr>
          <w:sz w:val="20"/>
          <w:szCs w:val="20"/>
        </w:rPr>
        <w:t>H = Diámetro mínimo de holgura del agujero (MMC) de Minimum clearance hole diameter</w:t>
      </w:r>
    </w:p>
    <w:p w:rsidR="00A47A2C" w:rsidRPr="00685387" w:rsidRDefault="00A47A2C" w:rsidP="00A47A2C">
      <w:pPr>
        <w:spacing w:after="120" w:line="360" w:lineRule="auto"/>
        <w:jc w:val="center"/>
        <w:rPr>
          <w:sz w:val="20"/>
          <w:szCs w:val="20"/>
        </w:rPr>
      </w:pPr>
      <w:r w:rsidRPr="00685387">
        <w:rPr>
          <w:sz w:val="20"/>
          <w:szCs w:val="20"/>
        </w:rPr>
        <w:t>F = Diámetro máximo de sujeción (MMC)</w:t>
      </w:r>
    </w:p>
    <w:p w:rsidR="00A47A2C" w:rsidRPr="00685387" w:rsidRDefault="00A47A2C" w:rsidP="00A47A2C">
      <w:pPr>
        <w:spacing w:after="120" w:line="360" w:lineRule="auto"/>
        <w:jc w:val="center"/>
        <w:rPr>
          <w:sz w:val="20"/>
          <w:szCs w:val="20"/>
        </w:rPr>
      </w:pPr>
      <w:r w:rsidRPr="00685387">
        <w:rPr>
          <w:sz w:val="20"/>
          <w:szCs w:val="20"/>
        </w:rPr>
        <w:t>T = Tolerancia posicional del agujero en MMC</w:t>
      </w:r>
    </w:p>
    <w:p w:rsidR="00A47A2C" w:rsidRPr="00685387" w:rsidRDefault="00A47A2C" w:rsidP="00A47A2C">
      <w:pPr>
        <w:spacing w:after="120" w:line="360" w:lineRule="auto"/>
        <w:jc w:val="both"/>
        <w:rPr>
          <w:sz w:val="20"/>
          <w:szCs w:val="20"/>
        </w:rPr>
      </w:pPr>
      <w:r w:rsidRPr="00685387">
        <w:rPr>
          <w:sz w:val="20"/>
          <w:szCs w:val="20"/>
        </w:rPr>
        <w:t>En situaciones de cierre flotantes, la tolerancia de posición de los agujeros de paso en cada parte se calculará por separado. El requisito funcional para esta aplicación es que el elemento de fijación debe pasar a través de los agujeros de paso en cada parte. El diámetro mínimo absoluto del agujero es el diámetro máximo del elemento de fijación, lo que requeriría una tolerancia de posición de cero en MMC en los agujeros. Se supone que el plano de referencia en ambas partes es el mismo plano, es decir, los planos de referencia son coplanares. Por consiguiente, las zonas de tolerancia de las características de acoplamiento en cada parte se supone que son colineales, y las fórmulas son válidas. Esto se aplica en las fórmulas de sujetador flotante y sujetador fijo.</w:t>
      </w:r>
    </w:p>
    <w:p w:rsidR="00A47A2C" w:rsidRPr="00685387" w:rsidRDefault="00A47A2C" w:rsidP="00A47A2C">
      <w:pPr>
        <w:spacing w:after="120" w:line="360" w:lineRule="auto"/>
        <w:jc w:val="both"/>
        <w:rPr>
          <w:b/>
          <w:sz w:val="20"/>
          <w:szCs w:val="20"/>
        </w:rPr>
      </w:pPr>
      <w:r w:rsidRPr="00685387">
        <w:rPr>
          <w:b/>
          <w:sz w:val="20"/>
          <w:szCs w:val="20"/>
        </w:rPr>
        <w:t>Situación de Sujetador Fijo</w:t>
      </w:r>
    </w:p>
    <w:p w:rsidR="00A47A2C" w:rsidRPr="00685387" w:rsidRDefault="00A47A2C" w:rsidP="00A47A2C">
      <w:pPr>
        <w:spacing w:after="120" w:line="360" w:lineRule="auto"/>
        <w:jc w:val="both"/>
        <w:rPr>
          <w:sz w:val="20"/>
          <w:szCs w:val="20"/>
        </w:rPr>
      </w:pPr>
      <w:r w:rsidRPr="00685387">
        <w:rPr>
          <w:sz w:val="20"/>
          <w:szCs w:val="20"/>
        </w:rPr>
        <w:t>Definición: Cuando las características externas, tales como pasadores o pernos, están fijados en su lugar en una parte y pasan a través de las características internas, tales como agujeros de paso, en una parte de acoplamiento, se conoce como situación de sujetador fijo. Una aplicación común es que dos o más partes se unen entre sí, y los sujetadores se fijan en una parte, y las otras partes tienen agujeros de paso. El sujetador puede ser "fijado" por varios métodos, como presionando un pasador o un perno en un agujero, pernos soldados en una parte, o un sujetador roscado en un orificio roscado o tuerca de soldar.</w:t>
      </w:r>
    </w:p>
    <w:p w:rsidR="00A47A2C" w:rsidRPr="003771E4" w:rsidRDefault="00A47A2C" w:rsidP="003771E4">
      <w:pPr>
        <w:spacing w:after="120" w:line="360" w:lineRule="auto"/>
        <w:jc w:val="both"/>
        <w:rPr>
          <w:sz w:val="20"/>
          <w:szCs w:val="20"/>
        </w:rPr>
      </w:pPr>
      <w:r w:rsidRPr="00685387">
        <w:rPr>
          <w:sz w:val="20"/>
          <w:szCs w:val="20"/>
        </w:rPr>
        <w:t>Corolario: Sujetador no puede desplazarse con respecto a una de las partes en una situación de sujetador fijo. Nota: En aplicaciones muy críticas puede ser necesario calcular la cantidad de compensación y error de coaxialidad entre el sujetador y el agujero roscado.</w:t>
      </w:r>
      <w:r w:rsidR="003771E4">
        <w:rPr>
          <w:sz w:val="20"/>
          <w:szCs w:val="20"/>
        </w:rPr>
        <w:t xml:space="preserve"> </w:t>
      </w:r>
      <w:r w:rsidRPr="00685387">
        <w:rPr>
          <w:sz w:val="20"/>
          <w:szCs w:val="20"/>
        </w:rPr>
        <w:t xml:space="preserve">Los agujeros deben ser tan pequeños como se pueda para maximizar la superficie de apoyo. </w:t>
      </w:r>
    </w:p>
    <w:p w:rsidR="00A47A2C" w:rsidRPr="00685387" w:rsidRDefault="00A47A2C" w:rsidP="00A47A2C">
      <w:pPr>
        <w:spacing w:after="120" w:line="360" w:lineRule="auto"/>
        <w:jc w:val="center"/>
        <w:rPr>
          <w:b/>
          <w:i/>
          <w:sz w:val="20"/>
          <w:szCs w:val="20"/>
        </w:rPr>
      </w:pPr>
      <w:r w:rsidRPr="00685387">
        <w:rPr>
          <w:b/>
          <w:i/>
          <w:sz w:val="20"/>
          <w:szCs w:val="20"/>
        </w:rPr>
        <w:t>Formula de Sujetador Fijo: H = F + T1 + T2</w:t>
      </w:r>
    </w:p>
    <w:p w:rsidR="00A47A2C" w:rsidRPr="00685387" w:rsidRDefault="00A47A2C" w:rsidP="00A47A2C">
      <w:pPr>
        <w:spacing w:after="120" w:line="360" w:lineRule="auto"/>
        <w:jc w:val="center"/>
        <w:rPr>
          <w:sz w:val="20"/>
          <w:szCs w:val="20"/>
        </w:rPr>
      </w:pPr>
      <w:r w:rsidRPr="00685387">
        <w:rPr>
          <w:sz w:val="20"/>
          <w:szCs w:val="20"/>
        </w:rPr>
        <w:t>Dónde:</w:t>
      </w:r>
    </w:p>
    <w:p w:rsidR="00A47A2C" w:rsidRPr="00685387" w:rsidRDefault="00A47A2C" w:rsidP="00A47A2C">
      <w:pPr>
        <w:spacing w:after="120" w:line="360" w:lineRule="auto"/>
        <w:jc w:val="center"/>
        <w:rPr>
          <w:sz w:val="20"/>
          <w:szCs w:val="20"/>
        </w:rPr>
      </w:pPr>
      <w:r w:rsidRPr="00685387">
        <w:rPr>
          <w:sz w:val="20"/>
          <w:szCs w:val="20"/>
        </w:rPr>
        <w:t>H = Diámetro mínimo de agujero de holgura (MMC)</w:t>
      </w:r>
    </w:p>
    <w:p w:rsidR="00A47A2C" w:rsidRPr="00685387" w:rsidRDefault="00A47A2C" w:rsidP="00A47A2C">
      <w:pPr>
        <w:spacing w:after="120" w:line="360" w:lineRule="auto"/>
        <w:jc w:val="center"/>
        <w:rPr>
          <w:sz w:val="20"/>
          <w:szCs w:val="20"/>
        </w:rPr>
      </w:pPr>
      <w:r w:rsidRPr="00685387">
        <w:rPr>
          <w:sz w:val="20"/>
          <w:szCs w:val="20"/>
        </w:rPr>
        <w:t>F = Diámetro máximo de sujeción (MMC)</w:t>
      </w:r>
    </w:p>
    <w:p w:rsidR="00A47A2C" w:rsidRPr="00685387" w:rsidRDefault="00A47A2C" w:rsidP="00A47A2C">
      <w:pPr>
        <w:spacing w:after="120" w:line="360" w:lineRule="auto"/>
        <w:jc w:val="center"/>
        <w:rPr>
          <w:sz w:val="20"/>
          <w:szCs w:val="20"/>
        </w:rPr>
      </w:pPr>
      <w:r w:rsidRPr="00685387">
        <w:rPr>
          <w:sz w:val="20"/>
          <w:szCs w:val="20"/>
        </w:rPr>
        <w:t>T1 = Tolerancia de posición del agujero en MMC</w:t>
      </w:r>
    </w:p>
    <w:p w:rsidR="00A47A2C" w:rsidRPr="00685387" w:rsidRDefault="00A47A2C" w:rsidP="00A47A2C">
      <w:pPr>
        <w:spacing w:after="120" w:line="360" w:lineRule="auto"/>
        <w:jc w:val="center"/>
        <w:rPr>
          <w:sz w:val="20"/>
          <w:szCs w:val="20"/>
        </w:rPr>
      </w:pPr>
      <w:r w:rsidRPr="00685387">
        <w:rPr>
          <w:sz w:val="20"/>
          <w:szCs w:val="20"/>
        </w:rPr>
        <w:t>T2 = Tolerancia de posición del orificio roscado en MMC</w:t>
      </w:r>
    </w:p>
    <w:p w:rsidR="00A47A2C" w:rsidRPr="00685387" w:rsidRDefault="00A47A2C" w:rsidP="006C6DDB">
      <w:pPr>
        <w:spacing w:after="120" w:line="360" w:lineRule="auto"/>
        <w:jc w:val="both"/>
        <w:rPr>
          <w:sz w:val="20"/>
          <w:szCs w:val="20"/>
        </w:rPr>
      </w:pPr>
      <w:r w:rsidRPr="00685387">
        <w:rPr>
          <w:sz w:val="20"/>
          <w:szCs w:val="20"/>
        </w:rPr>
        <w:lastRenderedPageBreak/>
        <w:t xml:space="preserve">En situaciones de sujetador fijo, ambas partes deben asignarles tolerancias juntas, dado que la ubicación del orificio roscado afecta a la ubicación del sujetador. </w:t>
      </w:r>
    </w:p>
    <w:p w:rsidR="00406CF4" w:rsidRDefault="00A14121" w:rsidP="005C67B2">
      <w:pPr>
        <w:spacing w:line="360" w:lineRule="auto"/>
        <w:jc w:val="both"/>
        <w:rPr>
          <w:sz w:val="20"/>
          <w:szCs w:val="20"/>
        </w:rPr>
      </w:pPr>
      <w:sdt>
        <w:sdtPr>
          <w:rPr>
            <w:sz w:val="20"/>
            <w:szCs w:val="20"/>
          </w:rPr>
          <w:id w:val="-631094083"/>
          <w:citation/>
        </w:sdtPr>
        <w:sdtEndPr/>
        <w:sdtContent>
          <w:r w:rsidR="00AE2CBE" w:rsidRPr="00685387">
            <w:rPr>
              <w:sz w:val="20"/>
              <w:szCs w:val="20"/>
            </w:rPr>
            <w:fldChar w:fldCharType="begin"/>
          </w:r>
          <w:r w:rsidR="00E6173C" w:rsidRPr="00685387">
            <w:rPr>
              <w:sz w:val="20"/>
              <w:szCs w:val="20"/>
            </w:rPr>
            <w:instrText xml:space="preserve"> CITATION Fis11 \l 2058 </w:instrText>
          </w:r>
          <w:r w:rsidR="00AE2CBE" w:rsidRPr="00685387">
            <w:rPr>
              <w:sz w:val="20"/>
              <w:szCs w:val="20"/>
            </w:rPr>
            <w:fldChar w:fldCharType="separate"/>
          </w:r>
          <w:r w:rsidR="00731120" w:rsidRPr="00685387">
            <w:rPr>
              <w:noProof/>
              <w:sz w:val="20"/>
              <w:szCs w:val="20"/>
            </w:rPr>
            <w:t>(Fischer, 2011)</w:t>
          </w:r>
          <w:r w:rsidR="00AE2CBE" w:rsidRPr="00685387">
            <w:rPr>
              <w:sz w:val="20"/>
              <w:szCs w:val="20"/>
            </w:rPr>
            <w:fldChar w:fldCharType="end"/>
          </w:r>
        </w:sdtContent>
      </w:sdt>
    </w:p>
    <w:p w:rsidR="005C67B2" w:rsidRPr="005C67B2" w:rsidRDefault="005C67B2" w:rsidP="005C67B2">
      <w:pPr>
        <w:spacing w:line="360" w:lineRule="auto"/>
        <w:jc w:val="both"/>
        <w:rPr>
          <w:sz w:val="20"/>
          <w:szCs w:val="20"/>
        </w:rPr>
      </w:pPr>
    </w:p>
    <w:p w:rsidR="00731120" w:rsidRPr="00685387" w:rsidRDefault="00731120" w:rsidP="00731120">
      <w:pPr>
        <w:pStyle w:val="Ttulo1"/>
        <w:rPr>
          <w:rFonts w:ascii="Arial" w:hAnsi="Arial" w:cs="Arial"/>
          <w:b/>
          <w:color w:val="auto"/>
          <w:sz w:val="28"/>
        </w:rPr>
      </w:pPr>
      <w:bookmarkStart w:id="4" w:name="_Toc372753069"/>
      <w:r w:rsidRPr="00685387">
        <w:rPr>
          <w:rFonts w:ascii="Arial" w:hAnsi="Arial" w:cs="Arial"/>
          <w:b/>
          <w:color w:val="auto"/>
          <w:sz w:val="28"/>
        </w:rPr>
        <w:t>Capítulo 19.- Clasificación de tolerancias y ajustes</w:t>
      </w:r>
      <w:bookmarkEnd w:id="4"/>
    </w:p>
    <w:p w:rsidR="00731120" w:rsidRPr="00685387" w:rsidRDefault="00731120" w:rsidP="00731120"/>
    <w:p w:rsidR="00A93742" w:rsidRPr="00685387" w:rsidRDefault="00A93742" w:rsidP="00A93742">
      <w:pPr>
        <w:autoSpaceDE w:val="0"/>
        <w:autoSpaceDN w:val="0"/>
        <w:adjustRightInd w:val="0"/>
        <w:spacing w:after="120" w:line="360" w:lineRule="auto"/>
        <w:jc w:val="both"/>
        <w:rPr>
          <w:rFonts w:eastAsia="TimesLTStd-Roman"/>
          <w:sz w:val="20"/>
          <w:szCs w:val="20"/>
        </w:rPr>
      </w:pPr>
      <w:r w:rsidRPr="00685387">
        <w:rPr>
          <w:rFonts w:eastAsia="TimesLTStd-Roman"/>
          <w:sz w:val="20"/>
          <w:szCs w:val="20"/>
        </w:rPr>
        <w:t>Generalmente hablando, existen tres tipos de ajustes entre detalles de tamaño en partes acopladas. Estos son</w:t>
      </w:r>
      <w:r w:rsidRPr="00685387">
        <w:rPr>
          <w:rFonts w:eastAsia="TimesLTStd-Roman"/>
          <w:i/>
          <w:sz w:val="20"/>
          <w:szCs w:val="20"/>
        </w:rPr>
        <w:t xml:space="preserve"> ajustes de holgura, ajustes de transición y ajustes  de interferencia.</w:t>
      </w:r>
      <w:r w:rsidRPr="00685387">
        <w:rPr>
          <w:rFonts w:eastAsia="TimesLTStd-Roman"/>
          <w:sz w:val="20"/>
          <w:szCs w:val="20"/>
        </w:rPr>
        <w:t xml:space="preserve"> Estas son las clasificaciones estándar de ajustes, y cada una está basada en cómo interactúan los detalles de acoplamiento en partes acopladas. Los estándares estadounidense e internacional definen sistemas de tolerancias y ajustes que gobiernan estas clasificaciones como los estándares ASME e ISO. Las clases de ajustes pueden designarse usando valores numéricos o utilizando códigos.</w:t>
      </w:r>
    </w:p>
    <w:p w:rsidR="00A93742" w:rsidRPr="00685387" w:rsidRDefault="00A93742" w:rsidP="00A93742">
      <w:pPr>
        <w:autoSpaceDE w:val="0"/>
        <w:autoSpaceDN w:val="0"/>
        <w:adjustRightInd w:val="0"/>
        <w:spacing w:after="120" w:line="360" w:lineRule="auto"/>
        <w:jc w:val="both"/>
        <w:rPr>
          <w:rFonts w:eastAsia="TimesLTStd-Roman"/>
          <w:sz w:val="20"/>
          <w:szCs w:val="20"/>
        </w:rPr>
      </w:pPr>
      <w:r w:rsidRPr="00685387">
        <w:rPr>
          <w:rFonts w:eastAsia="TimesLTStd-Roman"/>
          <w:sz w:val="20"/>
          <w:szCs w:val="20"/>
        </w:rPr>
        <w:t>Muchas, si no es que todas, las aplicaciones de partes acopladas involucran detalles que están sujetos a errores de orientación o localización. En estas situaciones es muy usual que se logre un ajuste virtual, al afectarse la holgura o interferencia real entre los detalles acoplados por las tolerancias aplicables de orientación y localización.</w:t>
      </w:r>
    </w:p>
    <w:p w:rsidR="00A93742" w:rsidRPr="00685387" w:rsidRDefault="00A93742" w:rsidP="00A93742">
      <w:pPr>
        <w:autoSpaceDE w:val="0"/>
        <w:autoSpaceDN w:val="0"/>
        <w:adjustRightInd w:val="0"/>
        <w:spacing w:after="120" w:line="360" w:lineRule="auto"/>
        <w:jc w:val="both"/>
        <w:rPr>
          <w:rFonts w:eastAsia="TimesLTStd-Roman"/>
          <w:sz w:val="20"/>
          <w:szCs w:val="20"/>
        </w:rPr>
      </w:pPr>
      <w:r w:rsidRPr="00685387">
        <w:rPr>
          <w:rFonts w:eastAsia="TimesLTStd-Roman"/>
          <w:sz w:val="20"/>
          <w:szCs w:val="20"/>
        </w:rPr>
        <w:t>Los estándares de clasificación de ajustes incluyen tablas de ajustes estandarizados, cada una ofreciendo poco más o poco menos de holgura o interferencia relativa. Dada una medida nominal, el diseñador determina el requerimiento funcional de la parte, y selecciona el ajuste apropiado. Los ajustes en cada tabla están agrupados para dirigirse a un conjunto particular de condiciones (como rotación de alta velocidad o ajustes de presión ligera). Las medidas nominales son listadas con una tolerancia superior e inferior para el eje y el agujero. Estas tolerancias se aplican al eje y agujero nominales para lograr el ajuste indicado.</w:t>
      </w:r>
    </w:p>
    <w:p w:rsidR="00A93742" w:rsidRPr="00685387" w:rsidRDefault="00A93742" w:rsidP="00A93742">
      <w:pPr>
        <w:autoSpaceDE w:val="0"/>
        <w:autoSpaceDN w:val="0"/>
        <w:adjustRightInd w:val="0"/>
        <w:spacing w:after="120" w:line="360" w:lineRule="auto"/>
        <w:jc w:val="both"/>
        <w:rPr>
          <w:rFonts w:eastAsia="TimesLTStd-Roman"/>
          <w:i/>
          <w:sz w:val="20"/>
          <w:szCs w:val="20"/>
        </w:rPr>
      </w:pPr>
      <w:r w:rsidRPr="00685387">
        <w:rPr>
          <w:rFonts w:eastAsia="TimesLTStd-Roman"/>
          <w:i/>
          <w:sz w:val="20"/>
          <w:szCs w:val="20"/>
        </w:rPr>
        <w:t>En las tablas de clasificación, el agujero y el eje son derivados de la misma medida nominal.</w:t>
      </w:r>
    </w:p>
    <w:p w:rsidR="00A93742" w:rsidRPr="00685387" w:rsidRDefault="00A93742" w:rsidP="00A93742">
      <w:pPr>
        <w:autoSpaceDE w:val="0"/>
        <w:autoSpaceDN w:val="0"/>
        <w:adjustRightInd w:val="0"/>
        <w:spacing w:after="120" w:line="360" w:lineRule="auto"/>
        <w:jc w:val="both"/>
        <w:rPr>
          <w:rFonts w:eastAsia="TimesLTStd-Roman"/>
          <w:sz w:val="20"/>
          <w:szCs w:val="20"/>
          <w:lang w:val="en-US"/>
        </w:rPr>
      </w:pPr>
      <w:r w:rsidRPr="00685387">
        <w:rPr>
          <w:rFonts w:eastAsia="TimesLTStd-Roman"/>
          <w:sz w:val="20"/>
          <w:szCs w:val="20"/>
          <w:lang w:val="en-US"/>
        </w:rPr>
        <w:t>Any fit between an internal and external feature of size may be classified as a clearance fit, a transition fit or an interference fit, regardless if the fit was selected from a standard chart. This is true for all regular features of size, which includes width features and spherical features, as well as cylindrical features. Examples of width features of size are keys and keyways.</w:t>
      </w:r>
    </w:p>
    <w:p w:rsidR="00A93742" w:rsidRPr="00685387" w:rsidRDefault="00A93742" w:rsidP="00A93742">
      <w:pPr>
        <w:autoSpaceDE w:val="0"/>
        <w:autoSpaceDN w:val="0"/>
        <w:adjustRightInd w:val="0"/>
        <w:spacing w:after="120" w:line="360" w:lineRule="auto"/>
        <w:jc w:val="both"/>
        <w:rPr>
          <w:rFonts w:eastAsia="TimesLTStd-Roman"/>
          <w:sz w:val="20"/>
          <w:szCs w:val="20"/>
        </w:rPr>
      </w:pPr>
      <w:r w:rsidRPr="00685387">
        <w:rPr>
          <w:rFonts w:eastAsia="TimesLTStd-Roman"/>
          <w:sz w:val="20"/>
          <w:szCs w:val="20"/>
        </w:rPr>
        <w:t>Cualquier ajuste en un detalle interno y externo de tamaño puede clasificarse como un ajuste de holgura, un ajuste de transición o de interferencia, sin importar que el ajuste haya sido seleccionado de una tabla. Esto es verdad para todos los detalles de tamaño, que incluyen detalles de ancho y detalles esféricos, así como cilíndricos. Ejemplos de detalles de tamaño de ancho son las cuñas y los cuñeros.</w:t>
      </w:r>
    </w:p>
    <w:p w:rsidR="00731120" w:rsidRPr="00685387" w:rsidRDefault="00A93742" w:rsidP="00A93742">
      <w:pPr>
        <w:autoSpaceDE w:val="0"/>
        <w:autoSpaceDN w:val="0"/>
        <w:adjustRightInd w:val="0"/>
        <w:spacing w:after="120" w:line="360" w:lineRule="auto"/>
        <w:jc w:val="both"/>
        <w:rPr>
          <w:rFonts w:eastAsia="TimesLTStd-Roman"/>
          <w:sz w:val="20"/>
          <w:szCs w:val="20"/>
        </w:rPr>
      </w:pPr>
      <w:r w:rsidRPr="00685387">
        <w:rPr>
          <w:rFonts w:eastAsia="TimesLTStd-Roman"/>
          <w:sz w:val="20"/>
          <w:szCs w:val="20"/>
        </w:rPr>
        <w:lastRenderedPageBreak/>
        <w:t>Por simplicidad se tratará a continuación los ajustes en términos de un eje pasando por un agujero.</w:t>
      </w:r>
    </w:p>
    <w:p w:rsidR="00A93742" w:rsidRPr="00685387" w:rsidRDefault="00A93742" w:rsidP="00A93742">
      <w:pPr>
        <w:autoSpaceDE w:val="0"/>
        <w:autoSpaceDN w:val="0"/>
        <w:adjustRightInd w:val="0"/>
        <w:spacing w:after="120" w:line="360" w:lineRule="auto"/>
        <w:jc w:val="both"/>
        <w:rPr>
          <w:rFonts w:eastAsia="TimesLTStd-Roman"/>
          <w:b/>
          <w:sz w:val="20"/>
          <w:szCs w:val="20"/>
        </w:rPr>
      </w:pPr>
      <w:r w:rsidRPr="00685387">
        <w:rPr>
          <w:rFonts w:eastAsia="TimesLTStd-Roman"/>
          <w:b/>
          <w:sz w:val="20"/>
          <w:szCs w:val="20"/>
        </w:rPr>
        <w:t>Ajustes de holgura</w:t>
      </w:r>
    </w:p>
    <w:p w:rsidR="00A93742" w:rsidRPr="00685387" w:rsidRDefault="00A93742" w:rsidP="00A93742">
      <w:pPr>
        <w:autoSpaceDE w:val="0"/>
        <w:autoSpaceDN w:val="0"/>
        <w:adjustRightInd w:val="0"/>
        <w:spacing w:after="0" w:line="360" w:lineRule="auto"/>
        <w:jc w:val="both"/>
        <w:rPr>
          <w:rFonts w:eastAsia="TimesLTStd-Roman"/>
          <w:sz w:val="20"/>
          <w:szCs w:val="20"/>
        </w:rPr>
      </w:pPr>
      <w:r w:rsidRPr="00685387">
        <w:rPr>
          <w:rFonts w:eastAsia="TimesLTStd-Roman"/>
          <w:sz w:val="20"/>
          <w:szCs w:val="20"/>
        </w:rPr>
        <w:t xml:space="preserve">Un ajuste de holgura debe siempre tener holgura entre el eje y el agujero. </w:t>
      </w:r>
      <w:r w:rsidRPr="00685387">
        <w:rPr>
          <w:rFonts w:eastAsia="TimesLTStd-Roman"/>
          <w:b/>
          <w:i/>
          <w:sz w:val="20"/>
          <w:szCs w:val="20"/>
        </w:rPr>
        <w:t>El máximo tamaño de eje deberá embonar con el agujero de mínimo tamaño con holgura.</w:t>
      </w:r>
      <w:r w:rsidRPr="00685387">
        <w:rPr>
          <w:rFonts w:eastAsia="TimesLTStd-Roman"/>
          <w:sz w:val="20"/>
          <w:szCs w:val="20"/>
        </w:rPr>
        <w:t xml:space="preserve"> </w:t>
      </w:r>
    </w:p>
    <w:p w:rsidR="006C6DDB" w:rsidRPr="00654A56" w:rsidRDefault="00A93742" w:rsidP="00A93742">
      <w:pPr>
        <w:autoSpaceDE w:val="0"/>
        <w:autoSpaceDN w:val="0"/>
        <w:adjustRightInd w:val="0"/>
        <w:spacing w:after="120" w:line="360" w:lineRule="auto"/>
        <w:jc w:val="both"/>
        <w:rPr>
          <w:rFonts w:eastAsia="TimesLTStd-Roman"/>
          <w:sz w:val="20"/>
          <w:szCs w:val="20"/>
        </w:rPr>
      </w:pPr>
      <w:r w:rsidRPr="00685387">
        <w:rPr>
          <w:rFonts w:eastAsia="TimesLTStd-Roman"/>
          <w:b/>
          <w:i/>
          <w:sz w:val="20"/>
          <w:szCs w:val="20"/>
        </w:rPr>
        <w:t>Esto significa que el agujero siempre es más grande que el eje.</w:t>
      </w:r>
      <w:r w:rsidRPr="00685387">
        <w:rPr>
          <w:rFonts w:eastAsia="TimesLTStd-Roman"/>
          <w:sz w:val="20"/>
          <w:szCs w:val="20"/>
        </w:rPr>
        <w:t xml:space="preserve"> Típicamente el requerimiento funcional es que el ajuste permita rotación o garantice holgura para otros propósitos. El propósito de un agujero con holgura es mantenerse fuera del camino de lo que sea que lo atraviese.</w:t>
      </w:r>
    </w:p>
    <w:p w:rsidR="00A93742" w:rsidRPr="00685387" w:rsidRDefault="00A93742" w:rsidP="00A93742">
      <w:pPr>
        <w:autoSpaceDE w:val="0"/>
        <w:autoSpaceDN w:val="0"/>
        <w:adjustRightInd w:val="0"/>
        <w:spacing w:after="120" w:line="360" w:lineRule="auto"/>
        <w:jc w:val="both"/>
        <w:rPr>
          <w:rFonts w:eastAsia="TimesLTStd-Roman"/>
          <w:b/>
          <w:sz w:val="20"/>
          <w:szCs w:val="20"/>
        </w:rPr>
      </w:pPr>
      <w:r w:rsidRPr="00685387">
        <w:rPr>
          <w:rFonts w:eastAsia="TimesLTStd-Roman"/>
          <w:b/>
          <w:sz w:val="20"/>
          <w:szCs w:val="20"/>
        </w:rPr>
        <w:t>Ajustes de transición</w:t>
      </w:r>
    </w:p>
    <w:p w:rsidR="00A93742" w:rsidRPr="00685387" w:rsidRDefault="00A93742" w:rsidP="00A93742">
      <w:pPr>
        <w:autoSpaceDE w:val="0"/>
        <w:autoSpaceDN w:val="0"/>
        <w:adjustRightInd w:val="0"/>
        <w:spacing w:after="120" w:line="360" w:lineRule="auto"/>
        <w:jc w:val="both"/>
        <w:rPr>
          <w:rFonts w:eastAsia="TimesLTStd-Roman"/>
          <w:sz w:val="20"/>
          <w:szCs w:val="20"/>
        </w:rPr>
      </w:pPr>
      <w:r w:rsidRPr="00685387">
        <w:rPr>
          <w:rFonts w:eastAsia="TimesLTStd-Roman"/>
          <w:sz w:val="20"/>
          <w:szCs w:val="20"/>
        </w:rPr>
        <w:t>Un ajuste de transición tiene holgura o interferencia entre el eje y el agujero. Esto significa que el agujero puede ser mayor que el eje, o que el agujero puede ser menor que el eje. Típicamente el requerimiento funcional es que el ajuste sea firme, ya sea que haya una ligera holgura o que la interferencia sea inmaterial.</w:t>
      </w:r>
    </w:p>
    <w:p w:rsidR="00A93742" w:rsidRPr="00685387" w:rsidRDefault="00A93742" w:rsidP="00A93742">
      <w:pPr>
        <w:autoSpaceDE w:val="0"/>
        <w:autoSpaceDN w:val="0"/>
        <w:adjustRightInd w:val="0"/>
        <w:spacing w:after="120" w:line="360" w:lineRule="auto"/>
        <w:jc w:val="both"/>
        <w:rPr>
          <w:rFonts w:eastAsia="TimesLTStd-Roman"/>
          <w:b/>
          <w:sz w:val="20"/>
          <w:szCs w:val="20"/>
        </w:rPr>
      </w:pPr>
      <w:r w:rsidRPr="00685387">
        <w:rPr>
          <w:rFonts w:eastAsia="TimesLTStd-Roman"/>
          <w:b/>
          <w:sz w:val="20"/>
          <w:szCs w:val="20"/>
        </w:rPr>
        <w:t>Ajustes de interferencia (ajustes forzados)</w:t>
      </w:r>
    </w:p>
    <w:p w:rsidR="00A93742" w:rsidRPr="00685387" w:rsidRDefault="00A93742" w:rsidP="00A93742">
      <w:pPr>
        <w:autoSpaceDE w:val="0"/>
        <w:autoSpaceDN w:val="0"/>
        <w:adjustRightInd w:val="0"/>
        <w:spacing w:after="0" w:line="360" w:lineRule="auto"/>
        <w:jc w:val="both"/>
        <w:rPr>
          <w:rFonts w:eastAsia="TimesLTStd-Roman"/>
          <w:sz w:val="20"/>
          <w:szCs w:val="20"/>
        </w:rPr>
      </w:pPr>
      <w:r w:rsidRPr="00685387">
        <w:rPr>
          <w:rFonts w:eastAsia="TimesLTStd-Roman"/>
          <w:sz w:val="20"/>
          <w:szCs w:val="20"/>
        </w:rPr>
        <w:t xml:space="preserve">Un ajuste de interferencia siempre tiene interferencia entre el eje y el agujero. </w:t>
      </w:r>
      <w:r w:rsidRPr="00685387">
        <w:rPr>
          <w:rFonts w:eastAsia="TimesLTStd-Roman"/>
          <w:b/>
          <w:i/>
          <w:sz w:val="20"/>
          <w:szCs w:val="20"/>
        </w:rPr>
        <w:t>El eje de tamaño mínimo embonará en el agujero de máximo tamaño con interferencia</w:t>
      </w:r>
      <w:r w:rsidRPr="00685387">
        <w:rPr>
          <w:rFonts w:eastAsia="TimesLTStd-Roman"/>
          <w:sz w:val="20"/>
          <w:szCs w:val="20"/>
        </w:rPr>
        <w:t xml:space="preserve">. </w:t>
      </w:r>
    </w:p>
    <w:p w:rsidR="00A93742" w:rsidRDefault="00A93742" w:rsidP="00A93742">
      <w:pPr>
        <w:autoSpaceDE w:val="0"/>
        <w:autoSpaceDN w:val="0"/>
        <w:adjustRightInd w:val="0"/>
        <w:spacing w:after="120" w:line="360" w:lineRule="auto"/>
        <w:jc w:val="both"/>
        <w:rPr>
          <w:rFonts w:eastAsia="TimesLTStd-Roman"/>
          <w:sz w:val="20"/>
          <w:szCs w:val="20"/>
        </w:rPr>
      </w:pPr>
      <w:r w:rsidRPr="00685387">
        <w:rPr>
          <w:rFonts w:eastAsia="TimesLTStd-Roman"/>
          <w:sz w:val="20"/>
          <w:szCs w:val="20"/>
        </w:rPr>
        <w:t xml:space="preserve">Eso significa que </w:t>
      </w:r>
      <w:r w:rsidRPr="00685387">
        <w:rPr>
          <w:rFonts w:eastAsia="TimesLTStd-Roman"/>
          <w:b/>
          <w:i/>
          <w:sz w:val="20"/>
          <w:szCs w:val="20"/>
        </w:rPr>
        <w:t>el</w:t>
      </w:r>
      <w:r w:rsidRPr="00685387">
        <w:rPr>
          <w:rFonts w:eastAsia="TimesLTStd-Roman"/>
          <w:sz w:val="20"/>
          <w:szCs w:val="20"/>
        </w:rPr>
        <w:t xml:space="preserve"> </w:t>
      </w:r>
      <w:r w:rsidRPr="00685387">
        <w:rPr>
          <w:rFonts w:eastAsia="TimesLTStd-Roman"/>
          <w:b/>
          <w:i/>
          <w:sz w:val="20"/>
          <w:szCs w:val="20"/>
        </w:rPr>
        <w:t>agujero es siempre menor que el eje</w:t>
      </w:r>
      <w:r w:rsidRPr="00685387">
        <w:rPr>
          <w:rFonts w:eastAsia="TimesLTStd-Roman"/>
          <w:sz w:val="20"/>
          <w:szCs w:val="20"/>
        </w:rPr>
        <w:t>. Típicamente el requerimiento funcional es para un ajuste a presión, garantizando que el eje no se aflojará del agujero.</w:t>
      </w:r>
    </w:p>
    <w:p w:rsidR="006801D0" w:rsidRDefault="006801D0" w:rsidP="00A93742">
      <w:pPr>
        <w:autoSpaceDE w:val="0"/>
        <w:autoSpaceDN w:val="0"/>
        <w:adjustRightInd w:val="0"/>
        <w:spacing w:after="120" w:line="360" w:lineRule="auto"/>
        <w:jc w:val="both"/>
        <w:rPr>
          <w:rFonts w:eastAsia="TimesLTStd-Roman"/>
          <w:sz w:val="20"/>
          <w:szCs w:val="20"/>
        </w:rPr>
      </w:pPr>
    </w:p>
    <w:p w:rsidR="005C67B2" w:rsidRDefault="005C67B2" w:rsidP="00A93742">
      <w:pPr>
        <w:autoSpaceDE w:val="0"/>
        <w:autoSpaceDN w:val="0"/>
        <w:adjustRightInd w:val="0"/>
        <w:spacing w:after="120" w:line="360" w:lineRule="auto"/>
        <w:jc w:val="both"/>
        <w:rPr>
          <w:rFonts w:eastAsia="TimesLTStd-Roman"/>
          <w:sz w:val="20"/>
          <w:szCs w:val="20"/>
        </w:rPr>
      </w:pPr>
    </w:p>
    <w:p w:rsidR="005C67B2" w:rsidRPr="00685387" w:rsidRDefault="005C67B2" w:rsidP="00A93742">
      <w:pPr>
        <w:autoSpaceDE w:val="0"/>
        <w:autoSpaceDN w:val="0"/>
        <w:adjustRightInd w:val="0"/>
        <w:spacing w:after="120" w:line="360" w:lineRule="auto"/>
        <w:jc w:val="both"/>
        <w:rPr>
          <w:rFonts w:eastAsia="TimesLTStd-Roman"/>
          <w:sz w:val="20"/>
          <w:szCs w:val="20"/>
        </w:rPr>
      </w:pPr>
    </w:p>
    <w:p w:rsidR="00A93742" w:rsidRPr="00685387" w:rsidRDefault="00A93742" w:rsidP="00A93742">
      <w:pPr>
        <w:autoSpaceDE w:val="0"/>
        <w:autoSpaceDN w:val="0"/>
        <w:adjustRightInd w:val="0"/>
        <w:spacing w:after="120" w:line="360" w:lineRule="auto"/>
        <w:jc w:val="both"/>
        <w:rPr>
          <w:rFonts w:eastAsia="TimesLTStd-Roman"/>
          <w:b/>
          <w:sz w:val="20"/>
          <w:szCs w:val="20"/>
        </w:rPr>
      </w:pPr>
      <w:r w:rsidRPr="00685387">
        <w:rPr>
          <w:rFonts w:eastAsia="TimesLTStd-Roman"/>
          <w:b/>
          <w:sz w:val="20"/>
          <w:szCs w:val="20"/>
        </w:rPr>
        <w:t>Tolerancias y ajustes en el contexto de  dimensionamiento y tolerancias geométricas</w:t>
      </w:r>
    </w:p>
    <w:p w:rsidR="00A93742" w:rsidRPr="00685387" w:rsidRDefault="00A93742" w:rsidP="00654A56">
      <w:pPr>
        <w:autoSpaceDE w:val="0"/>
        <w:autoSpaceDN w:val="0"/>
        <w:adjustRightInd w:val="0"/>
        <w:spacing w:after="120" w:line="360" w:lineRule="auto"/>
        <w:jc w:val="both"/>
        <w:rPr>
          <w:rFonts w:eastAsia="TimesLTStd-Roman"/>
          <w:sz w:val="20"/>
          <w:szCs w:val="20"/>
        </w:rPr>
      </w:pPr>
      <w:r w:rsidRPr="00685387">
        <w:rPr>
          <w:rFonts w:eastAsia="TimesLTStd-Roman"/>
          <w:sz w:val="20"/>
          <w:szCs w:val="20"/>
        </w:rPr>
        <w:t>Es importante recordar que estas clasificaciones de ajustes se discuten en términos de un detalle externo que embona en un detalle interno, sin considerar la orientación relativa y/o la localización de los detalles. Estas clasificaciones asumen que el detalle externo e interno están alineados uno con otro, y por lo tanto coaxiales o coplanares dependiendo de los detalles. Esto, de hecho, no es el caso usualmente. Por lo cual el diseñador debe tomar en cuenta el posible error de orientación o el error de localización al determinar un ajuste.</w:t>
      </w:r>
    </w:p>
    <w:p w:rsidR="00A93742" w:rsidRPr="00685387" w:rsidRDefault="00A14121" w:rsidP="00A93742">
      <w:pPr>
        <w:autoSpaceDE w:val="0"/>
        <w:autoSpaceDN w:val="0"/>
        <w:adjustRightInd w:val="0"/>
        <w:spacing w:after="0" w:line="240" w:lineRule="auto"/>
        <w:rPr>
          <w:rFonts w:eastAsia="TimesLTStd-Roman"/>
          <w:sz w:val="20"/>
          <w:szCs w:val="20"/>
          <w:lang w:val="en-US"/>
        </w:rPr>
      </w:pPr>
      <w:sdt>
        <w:sdtPr>
          <w:rPr>
            <w:rFonts w:eastAsia="TimesLTStd-Roman"/>
            <w:sz w:val="20"/>
            <w:szCs w:val="20"/>
          </w:rPr>
          <w:id w:val="-1291049400"/>
          <w:citation/>
        </w:sdtPr>
        <w:sdtEndPr/>
        <w:sdtContent>
          <w:r w:rsidR="00AE2CBE" w:rsidRPr="00685387">
            <w:rPr>
              <w:rFonts w:eastAsia="TimesLTStd-Roman"/>
              <w:sz w:val="20"/>
              <w:szCs w:val="20"/>
            </w:rPr>
            <w:fldChar w:fldCharType="begin"/>
          </w:r>
          <w:r w:rsidR="00A93742" w:rsidRPr="00685387">
            <w:rPr>
              <w:rFonts w:eastAsia="TimesLTStd-Roman"/>
              <w:sz w:val="20"/>
              <w:szCs w:val="20"/>
            </w:rPr>
            <w:instrText xml:space="preserve"> CITATION Fis11 \l 2058 </w:instrText>
          </w:r>
          <w:r w:rsidR="00AE2CBE" w:rsidRPr="00685387">
            <w:rPr>
              <w:rFonts w:eastAsia="TimesLTStd-Roman"/>
              <w:sz w:val="20"/>
              <w:szCs w:val="20"/>
            </w:rPr>
            <w:fldChar w:fldCharType="separate"/>
          </w:r>
          <w:r w:rsidR="00731120" w:rsidRPr="00685387">
            <w:rPr>
              <w:rFonts w:eastAsia="TimesLTStd-Roman"/>
              <w:noProof/>
              <w:sz w:val="20"/>
              <w:szCs w:val="20"/>
            </w:rPr>
            <w:t>(Fischer, 2011)</w:t>
          </w:r>
          <w:r w:rsidR="00AE2CBE" w:rsidRPr="00685387">
            <w:rPr>
              <w:rFonts w:eastAsia="TimesLTStd-Roman"/>
              <w:sz w:val="20"/>
              <w:szCs w:val="20"/>
            </w:rPr>
            <w:fldChar w:fldCharType="end"/>
          </w:r>
        </w:sdtContent>
      </w:sdt>
    </w:p>
    <w:p w:rsidR="00E6173C" w:rsidRDefault="00E6173C">
      <w:pPr>
        <w:rPr>
          <w:lang w:val="en-US"/>
        </w:rPr>
      </w:pPr>
    </w:p>
    <w:p w:rsidR="00685387" w:rsidRPr="006C6DDB" w:rsidRDefault="00685387" w:rsidP="00685387">
      <w:pPr>
        <w:pStyle w:val="Ttulo1"/>
        <w:rPr>
          <w:rFonts w:ascii="Arial" w:hAnsi="Arial" w:cs="Arial"/>
          <w:b/>
          <w:color w:val="auto"/>
          <w:sz w:val="28"/>
          <w:szCs w:val="28"/>
        </w:rPr>
      </w:pPr>
      <w:bookmarkStart w:id="5" w:name="_Toc372753070"/>
      <w:r w:rsidRPr="006C6DDB">
        <w:rPr>
          <w:rFonts w:ascii="Arial" w:hAnsi="Arial" w:cs="Arial"/>
          <w:b/>
          <w:color w:val="auto"/>
          <w:sz w:val="28"/>
          <w:szCs w:val="28"/>
        </w:rPr>
        <w:t>Conclusiones</w:t>
      </w:r>
      <w:bookmarkEnd w:id="5"/>
    </w:p>
    <w:p w:rsidR="00685387" w:rsidRPr="00685387" w:rsidRDefault="00685387" w:rsidP="00685387"/>
    <w:p w:rsidR="00685387" w:rsidRPr="00685387" w:rsidRDefault="00685387" w:rsidP="00685387">
      <w:pPr>
        <w:spacing w:after="120" w:line="360" w:lineRule="auto"/>
        <w:jc w:val="both"/>
        <w:rPr>
          <w:sz w:val="20"/>
          <w:szCs w:val="20"/>
        </w:rPr>
      </w:pPr>
      <w:r w:rsidRPr="00685387">
        <w:rPr>
          <w:sz w:val="20"/>
          <w:szCs w:val="20"/>
          <w:shd w:val="clear" w:color="auto" w:fill="F7F7F7"/>
        </w:rPr>
        <w:t xml:space="preserve">Una vez abordado el tema de análisis de tolerancias y acumulación de la mismas podemos apreciar que son de gran importancia para el ensamblaje de las piezas, también hemos aprendido </w:t>
      </w:r>
      <w:r w:rsidRPr="00685387">
        <w:rPr>
          <w:sz w:val="20"/>
          <w:szCs w:val="20"/>
          <w:shd w:val="clear" w:color="auto" w:fill="F7F7F7"/>
        </w:rPr>
        <w:lastRenderedPageBreak/>
        <w:t>como estos métodos nos permiten controlar la variación de las tolerancias para así tener una relación geométrica que no entre en conflicto con la orientación ni la ubicación. Estos factores son de gran importancia al momento de seleccionar un ensamble y con los distintos métodos y su forma de representar se hace más fácil la manera en la que en la actualidad expresamos los esquemas.</w:t>
      </w:r>
    </w:p>
    <w:p w:rsidR="00685387" w:rsidRPr="00685387" w:rsidRDefault="00685387"/>
    <w:bookmarkStart w:id="6" w:name="_Toc372753071" w:displacedByCustomXml="next"/>
    <w:sdt>
      <w:sdtPr>
        <w:rPr>
          <w:rFonts w:ascii="Arial" w:eastAsiaTheme="minorHAnsi" w:hAnsi="Arial" w:cs="Arial"/>
          <w:color w:val="auto"/>
          <w:sz w:val="22"/>
          <w:szCs w:val="22"/>
          <w:lang w:val="es-ES"/>
        </w:rPr>
        <w:id w:val="1797170465"/>
        <w:docPartObj>
          <w:docPartGallery w:val="Bibliographies"/>
          <w:docPartUnique/>
        </w:docPartObj>
      </w:sdtPr>
      <w:sdtEndPr>
        <w:rPr>
          <w:lang w:val="es-MX"/>
        </w:rPr>
      </w:sdtEndPr>
      <w:sdtContent>
        <w:p w:rsidR="00731120" w:rsidRPr="00685387" w:rsidRDefault="00731120">
          <w:pPr>
            <w:pStyle w:val="Ttulo1"/>
            <w:rPr>
              <w:rFonts w:ascii="Arial" w:hAnsi="Arial" w:cs="Arial"/>
              <w:b/>
              <w:color w:val="auto"/>
              <w:lang w:val="en-US"/>
            </w:rPr>
          </w:pPr>
          <w:r w:rsidRPr="00685387">
            <w:rPr>
              <w:rFonts w:ascii="Arial" w:hAnsi="Arial" w:cs="Arial"/>
              <w:b/>
              <w:color w:val="auto"/>
              <w:lang w:val="en-US"/>
            </w:rPr>
            <w:t>Referencias</w:t>
          </w:r>
          <w:bookmarkEnd w:id="6"/>
        </w:p>
        <w:sdt>
          <w:sdtPr>
            <w:id w:val="-573587230"/>
            <w:bibliography/>
          </w:sdtPr>
          <w:sdtEndPr/>
          <w:sdtContent>
            <w:p w:rsidR="00731120" w:rsidRPr="00654A56" w:rsidRDefault="00731120" w:rsidP="00731120">
              <w:pPr>
                <w:pStyle w:val="Bibliografa"/>
                <w:ind w:left="720" w:hanging="720"/>
                <w:rPr>
                  <w:noProof/>
                  <w:szCs w:val="24"/>
                  <w:lang w:val="es-ES"/>
                </w:rPr>
              </w:pPr>
              <w:r w:rsidRPr="00654A56">
                <w:rPr>
                  <w:sz w:val="20"/>
                </w:rPr>
                <w:fldChar w:fldCharType="begin"/>
              </w:r>
              <w:r w:rsidRPr="00654A56">
                <w:rPr>
                  <w:sz w:val="20"/>
                  <w:lang w:val="en-US"/>
                </w:rPr>
                <w:instrText>BIBLIOGRAPHY</w:instrText>
              </w:r>
              <w:r w:rsidRPr="00654A56">
                <w:rPr>
                  <w:sz w:val="20"/>
                </w:rPr>
                <w:fldChar w:fldCharType="separate"/>
              </w:r>
              <w:r w:rsidRPr="00654A56">
                <w:rPr>
                  <w:noProof/>
                  <w:sz w:val="20"/>
                  <w:lang w:val="en-US"/>
                </w:rPr>
                <w:t xml:space="preserve">Fischer, B. R. (2011). </w:t>
              </w:r>
              <w:r w:rsidRPr="00654A56">
                <w:rPr>
                  <w:i/>
                  <w:iCs/>
                  <w:noProof/>
                  <w:sz w:val="20"/>
                  <w:lang w:val="en-US"/>
                </w:rPr>
                <w:t>MECHANICAL TOLERANCE STACKUP AND ANALYSIS.</w:t>
              </w:r>
              <w:r w:rsidRPr="00654A56">
                <w:rPr>
                  <w:noProof/>
                  <w:sz w:val="20"/>
                  <w:lang w:val="en-US"/>
                </w:rPr>
                <w:t xml:space="preserve"> </w:t>
              </w:r>
              <w:r w:rsidRPr="00654A56">
                <w:rPr>
                  <w:noProof/>
                  <w:sz w:val="20"/>
                  <w:lang w:val="es-ES"/>
                </w:rPr>
                <w:t>Boca Raton, FL: CRC Press.</w:t>
              </w:r>
            </w:p>
            <w:p w:rsidR="006F2C64" w:rsidRPr="00685387" w:rsidRDefault="00731120" w:rsidP="006F2C64">
              <w:r w:rsidRPr="00654A56">
                <w:rPr>
                  <w:b/>
                  <w:bCs/>
                  <w:sz w:val="20"/>
                </w:rPr>
                <w:fldChar w:fldCharType="end"/>
              </w:r>
            </w:p>
          </w:sdtContent>
        </w:sdt>
      </w:sdtContent>
    </w:sdt>
    <w:sectPr w:rsidR="006F2C64" w:rsidRPr="00685387" w:rsidSect="00A93742">
      <w:footerReference w:type="default" r:id="rId12"/>
      <w:pgSz w:w="12240" w:h="15840"/>
      <w:pgMar w:top="1417" w:right="1701"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0B4" w:rsidRDefault="004610B4" w:rsidP="00A93742">
      <w:pPr>
        <w:spacing w:after="0" w:line="240" w:lineRule="auto"/>
      </w:pPr>
      <w:r>
        <w:separator/>
      </w:r>
    </w:p>
  </w:endnote>
  <w:endnote w:type="continuationSeparator" w:id="0">
    <w:p w:rsidR="004610B4" w:rsidRDefault="004610B4" w:rsidP="00A93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LTStd-Roman">
    <w:altName w:val="MS Mincho"/>
    <w:panose1 w:val="00000000000000000000"/>
    <w:charset w:val="80"/>
    <w:family w:val="roman"/>
    <w:notTrueType/>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388338"/>
      <w:docPartObj>
        <w:docPartGallery w:val="Page Numbers (Bottom of Page)"/>
        <w:docPartUnique/>
      </w:docPartObj>
    </w:sdtPr>
    <w:sdtEndPr/>
    <w:sdtContent>
      <w:p w:rsidR="00A93742" w:rsidRDefault="00AE2CBE">
        <w:pPr>
          <w:pStyle w:val="Piedepgina"/>
          <w:jc w:val="right"/>
        </w:pPr>
        <w:r>
          <w:fldChar w:fldCharType="begin"/>
        </w:r>
        <w:r w:rsidR="00A93742">
          <w:instrText>PAGE   \* MERGEFORMAT</w:instrText>
        </w:r>
        <w:r>
          <w:fldChar w:fldCharType="separate"/>
        </w:r>
        <w:r w:rsidR="00A14121" w:rsidRPr="00A14121">
          <w:rPr>
            <w:noProof/>
            <w:lang w:val="es-ES"/>
          </w:rPr>
          <w:t>5</w:t>
        </w:r>
        <w:r>
          <w:fldChar w:fldCharType="end"/>
        </w:r>
      </w:p>
    </w:sdtContent>
  </w:sdt>
  <w:p w:rsidR="00A93742" w:rsidRDefault="00A9374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0B4" w:rsidRDefault="004610B4" w:rsidP="00A93742">
      <w:pPr>
        <w:spacing w:after="0" w:line="240" w:lineRule="auto"/>
      </w:pPr>
      <w:r>
        <w:separator/>
      </w:r>
    </w:p>
  </w:footnote>
  <w:footnote w:type="continuationSeparator" w:id="0">
    <w:p w:rsidR="004610B4" w:rsidRDefault="004610B4" w:rsidP="00A937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C315E"/>
    <w:multiLevelType w:val="hybridMultilevel"/>
    <w:tmpl w:val="5C92A06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4512A45"/>
    <w:multiLevelType w:val="hybridMultilevel"/>
    <w:tmpl w:val="97DA354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43DA4574"/>
    <w:multiLevelType w:val="hybridMultilevel"/>
    <w:tmpl w:val="9DE4C48C"/>
    <w:lvl w:ilvl="0" w:tplc="080A0017">
      <w:start w:val="1"/>
      <w:numFmt w:val="lowerLetter"/>
      <w:lvlText w:val="%1)"/>
      <w:lvlJc w:val="left"/>
      <w:pPr>
        <w:ind w:left="2148" w:hanging="360"/>
      </w:pPr>
    </w:lvl>
    <w:lvl w:ilvl="1" w:tplc="080A0019" w:tentative="1">
      <w:start w:val="1"/>
      <w:numFmt w:val="lowerLetter"/>
      <w:lvlText w:val="%2."/>
      <w:lvlJc w:val="left"/>
      <w:pPr>
        <w:ind w:left="2868" w:hanging="360"/>
      </w:pPr>
    </w:lvl>
    <w:lvl w:ilvl="2" w:tplc="080A001B" w:tentative="1">
      <w:start w:val="1"/>
      <w:numFmt w:val="lowerRoman"/>
      <w:lvlText w:val="%3."/>
      <w:lvlJc w:val="right"/>
      <w:pPr>
        <w:ind w:left="3588" w:hanging="180"/>
      </w:pPr>
    </w:lvl>
    <w:lvl w:ilvl="3" w:tplc="080A000F" w:tentative="1">
      <w:start w:val="1"/>
      <w:numFmt w:val="decimal"/>
      <w:lvlText w:val="%4."/>
      <w:lvlJc w:val="left"/>
      <w:pPr>
        <w:ind w:left="4308" w:hanging="360"/>
      </w:pPr>
    </w:lvl>
    <w:lvl w:ilvl="4" w:tplc="080A0019" w:tentative="1">
      <w:start w:val="1"/>
      <w:numFmt w:val="lowerLetter"/>
      <w:lvlText w:val="%5."/>
      <w:lvlJc w:val="left"/>
      <w:pPr>
        <w:ind w:left="5028" w:hanging="360"/>
      </w:pPr>
    </w:lvl>
    <w:lvl w:ilvl="5" w:tplc="080A001B" w:tentative="1">
      <w:start w:val="1"/>
      <w:numFmt w:val="lowerRoman"/>
      <w:lvlText w:val="%6."/>
      <w:lvlJc w:val="right"/>
      <w:pPr>
        <w:ind w:left="5748" w:hanging="180"/>
      </w:pPr>
    </w:lvl>
    <w:lvl w:ilvl="6" w:tplc="080A000F" w:tentative="1">
      <w:start w:val="1"/>
      <w:numFmt w:val="decimal"/>
      <w:lvlText w:val="%7."/>
      <w:lvlJc w:val="left"/>
      <w:pPr>
        <w:ind w:left="6468" w:hanging="360"/>
      </w:pPr>
    </w:lvl>
    <w:lvl w:ilvl="7" w:tplc="080A0019" w:tentative="1">
      <w:start w:val="1"/>
      <w:numFmt w:val="lowerLetter"/>
      <w:lvlText w:val="%8."/>
      <w:lvlJc w:val="left"/>
      <w:pPr>
        <w:ind w:left="7188" w:hanging="360"/>
      </w:pPr>
    </w:lvl>
    <w:lvl w:ilvl="8" w:tplc="080A001B" w:tentative="1">
      <w:start w:val="1"/>
      <w:numFmt w:val="lowerRoman"/>
      <w:lvlText w:val="%9."/>
      <w:lvlJc w:val="right"/>
      <w:pPr>
        <w:ind w:left="7908" w:hanging="180"/>
      </w:pPr>
    </w:lvl>
  </w:abstractNum>
  <w:abstractNum w:abstractNumId="3">
    <w:nsid w:val="4B3E3FAE"/>
    <w:multiLevelType w:val="hybridMultilevel"/>
    <w:tmpl w:val="4CA4BA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525C6224"/>
    <w:multiLevelType w:val="hybridMultilevel"/>
    <w:tmpl w:val="31563494"/>
    <w:lvl w:ilvl="0" w:tplc="080A000F">
      <w:start w:val="1"/>
      <w:numFmt w:val="decimal"/>
      <w:lvlText w:val="%1."/>
      <w:lvlJc w:val="left"/>
      <w:pPr>
        <w:ind w:left="644" w:hanging="360"/>
      </w:p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C8A"/>
    <w:rsid w:val="000430EC"/>
    <w:rsid w:val="001174FD"/>
    <w:rsid w:val="001C057E"/>
    <w:rsid w:val="0024303F"/>
    <w:rsid w:val="00286CD4"/>
    <w:rsid w:val="002D161A"/>
    <w:rsid w:val="003467A7"/>
    <w:rsid w:val="003771E4"/>
    <w:rsid w:val="003C2A75"/>
    <w:rsid w:val="00406CF4"/>
    <w:rsid w:val="004560CD"/>
    <w:rsid w:val="004610B4"/>
    <w:rsid w:val="00497A6E"/>
    <w:rsid w:val="005C67B2"/>
    <w:rsid w:val="006070D1"/>
    <w:rsid w:val="00654A56"/>
    <w:rsid w:val="006801D0"/>
    <w:rsid w:val="00685387"/>
    <w:rsid w:val="006C6DDB"/>
    <w:rsid w:val="006F2C64"/>
    <w:rsid w:val="00731120"/>
    <w:rsid w:val="00762370"/>
    <w:rsid w:val="00763B13"/>
    <w:rsid w:val="00851F46"/>
    <w:rsid w:val="00884A0C"/>
    <w:rsid w:val="008B5808"/>
    <w:rsid w:val="008F0BEC"/>
    <w:rsid w:val="009176F6"/>
    <w:rsid w:val="00941924"/>
    <w:rsid w:val="00946B59"/>
    <w:rsid w:val="009F057E"/>
    <w:rsid w:val="00A14121"/>
    <w:rsid w:val="00A14761"/>
    <w:rsid w:val="00A47A2C"/>
    <w:rsid w:val="00A7044D"/>
    <w:rsid w:val="00A93742"/>
    <w:rsid w:val="00AE2CBE"/>
    <w:rsid w:val="00B10952"/>
    <w:rsid w:val="00BB7771"/>
    <w:rsid w:val="00BE2ED1"/>
    <w:rsid w:val="00C61D2E"/>
    <w:rsid w:val="00CE1166"/>
    <w:rsid w:val="00D71EC3"/>
    <w:rsid w:val="00DC3F9E"/>
    <w:rsid w:val="00E6173C"/>
    <w:rsid w:val="00E74C8A"/>
    <w:rsid w:val="00EC66AD"/>
    <w:rsid w:val="00F93D6A"/>
    <w:rsid w:val="00FC33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C8A"/>
    <w:pPr>
      <w:spacing w:line="256" w:lineRule="auto"/>
    </w:pPr>
  </w:style>
  <w:style w:type="paragraph" w:styleId="Ttulo1">
    <w:name w:val="heading 1"/>
    <w:basedOn w:val="Normal"/>
    <w:next w:val="Normal"/>
    <w:link w:val="Ttulo1Car"/>
    <w:uiPriority w:val="9"/>
    <w:qFormat/>
    <w:rsid w:val="003467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73112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467A7"/>
    <w:rPr>
      <w:rFonts w:asciiTheme="majorHAnsi" w:eastAsiaTheme="majorEastAsia" w:hAnsiTheme="majorHAnsi" w:cstheme="majorBidi"/>
      <w:color w:val="2E74B5" w:themeColor="accent1" w:themeShade="BF"/>
      <w:sz w:val="32"/>
      <w:szCs w:val="32"/>
    </w:rPr>
  </w:style>
  <w:style w:type="paragraph" w:styleId="TtulodeTDC">
    <w:name w:val="TOC Heading"/>
    <w:basedOn w:val="Ttulo1"/>
    <w:next w:val="Normal"/>
    <w:uiPriority w:val="39"/>
    <w:unhideWhenUsed/>
    <w:qFormat/>
    <w:rsid w:val="003467A7"/>
    <w:pPr>
      <w:spacing w:line="259" w:lineRule="auto"/>
      <w:outlineLvl w:val="9"/>
    </w:pPr>
    <w:rPr>
      <w:lang w:eastAsia="es-MX"/>
    </w:rPr>
  </w:style>
  <w:style w:type="paragraph" w:styleId="Prrafodelista">
    <w:name w:val="List Paragraph"/>
    <w:basedOn w:val="Normal"/>
    <w:uiPriority w:val="34"/>
    <w:qFormat/>
    <w:rsid w:val="003467A7"/>
    <w:pPr>
      <w:spacing w:after="200" w:line="276" w:lineRule="auto"/>
      <w:ind w:left="720"/>
      <w:contextualSpacing/>
    </w:pPr>
    <w:rPr>
      <w:rFonts w:asciiTheme="minorHAnsi" w:hAnsiTheme="minorHAnsi" w:cstheme="minorBidi"/>
    </w:rPr>
  </w:style>
  <w:style w:type="paragraph" w:styleId="TDC1">
    <w:name w:val="toc 1"/>
    <w:basedOn w:val="Normal"/>
    <w:next w:val="Normal"/>
    <w:autoRedefine/>
    <w:uiPriority w:val="39"/>
    <w:unhideWhenUsed/>
    <w:rsid w:val="00A93742"/>
    <w:pPr>
      <w:spacing w:after="100"/>
    </w:pPr>
  </w:style>
  <w:style w:type="character" w:styleId="Hipervnculo">
    <w:name w:val="Hyperlink"/>
    <w:basedOn w:val="Fuentedeprrafopredeter"/>
    <w:uiPriority w:val="99"/>
    <w:unhideWhenUsed/>
    <w:rsid w:val="00A93742"/>
    <w:rPr>
      <w:color w:val="0563C1" w:themeColor="hyperlink"/>
      <w:u w:val="single"/>
    </w:rPr>
  </w:style>
  <w:style w:type="paragraph" w:styleId="Encabezado">
    <w:name w:val="header"/>
    <w:basedOn w:val="Normal"/>
    <w:link w:val="EncabezadoCar"/>
    <w:uiPriority w:val="99"/>
    <w:unhideWhenUsed/>
    <w:rsid w:val="00A9374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93742"/>
  </w:style>
  <w:style w:type="paragraph" w:styleId="Piedepgina">
    <w:name w:val="footer"/>
    <w:basedOn w:val="Normal"/>
    <w:link w:val="PiedepginaCar"/>
    <w:uiPriority w:val="99"/>
    <w:unhideWhenUsed/>
    <w:rsid w:val="00A9374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93742"/>
  </w:style>
  <w:style w:type="paragraph" w:styleId="Textodeglobo">
    <w:name w:val="Balloon Text"/>
    <w:basedOn w:val="Normal"/>
    <w:link w:val="TextodegloboCar"/>
    <w:uiPriority w:val="99"/>
    <w:semiHidden/>
    <w:unhideWhenUsed/>
    <w:rsid w:val="003C2A7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C2A75"/>
    <w:rPr>
      <w:rFonts w:ascii="Tahoma" w:hAnsi="Tahoma" w:cs="Tahoma"/>
      <w:sz w:val="16"/>
      <w:szCs w:val="16"/>
    </w:rPr>
  </w:style>
  <w:style w:type="paragraph" w:styleId="Bibliografa">
    <w:name w:val="Bibliography"/>
    <w:basedOn w:val="Normal"/>
    <w:next w:val="Normal"/>
    <w:uiPriority w:val="37"/>
    <w:unhideWhenUsed/>
    <w:rsid w:val="006F2C64"/>
  </w:style>
  <w:style w:type="character" w:customStyle="1" w:styleId="Ttulo2Car">
    <w:name w:val="Título 2 Car"/>
    <w:basedOn w:val="Fuentedeprrafopredeter"/>
    <w:link w:val="Ttulo2"/>
    <w:uiPriority w:val="9"/>
    <w:rsid w:val="00731120"/>
    <w:rPr>
      <w:rFonts w:asciiTheme="majorHAnsi" w:eastAsiaTheme="majorEastAsia" w:hAnsiTheme="majorHAnsi" w:cstheme="majorBidi"/>
      <w:color w:val="2E74B5" w:themeColor="accent1" w:themeShade="BF"/>
      <w:sz w:val="26"/>
      <w:szCs w:val="26"/>
    </w:rPr>
  </w:style>
  <w:style w:type="paragraph" w:styleId="TDC2">
    <w:name w:val="toc 2"/>
    <w:basedOn w:val="Normal"/>
    <w:next w:val="Normal"/>
    <w:autoRedefine/>
    <w:uiPriority w:val="39"/>
    <w:unhideWhenUsed/>
    <w:rsid w:val="000430EC"/>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C8A"/>
    <w:pPr>
      <w:spacing w:line="256" w:lineRule="auto"/>
    </w:pPr>
  </w:style>
  <w:style w:type="paragraph" w:styleId="Ttulo1">
    <w:name w:val="heading 1"/>
    <w:basedOn w:val="Normal"/>
    <w:next w:val="Normal"/>
    <w:link w:val="Ttulo1Car"/>
    <w:uiPriority w:val="9"/>
    <w:qFormat/>
    <w:rsid w:val="003467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73112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467A7"/>
    <w:rPr>
      <w:rFonts w:asciiTheme="majorHAnsi" w:eastAsiaTheme="majorEastAsia" w:hAnsiTheme="majorHAnsi" w:cstheme="majorBidi"/>
      <w:color w:val="2E74B5" w:themeColor="accent1" w:themeShade="BF"/>
      <w:sz w:val="32"/>
      <w:szCs w:val="32"/>
    </w:rPr>
  </w:style>
  <w:style w:type="paragraph" w:styleId="TtulodeTDC">
    <w:name w:val="TOC Heading"/>
    <w:basedOn w:val="Ttulo1"/>
    <w:next w:val="Normal"/>
    <w:uiPriority w:val="39"/>
    <w:unhideWhenUsed/>
    <w:qFormat/>
    <w:rsid w:val="003467A7"/>
    <w:pPr>
      <w:spacing w:line="259" w:lineRule="auto"/>
      <w:outlineLvl w:val="9"/>
    </w:pPr>
    <w:rPr>
      <w:lang w:eastAsia="es-MX"/>
    </w:rPr>
  </w:style>
  <w:style w:type="paragraph" w:styleId="Prrafodelista">
    <w:name w:val="List Paragraph"/>
    <w:basedOn w:val="Normal"/>
    <w:uiPriority w:val="34"/>
    <w:qFormat/>
    <w:rsid w:val="003467A7"/>
    <w:pPr>
      <w:spacing w:after="200" w:line="276" w:lineRule="auto"/>
      <w:ind w:left="720"/>
      <w:contextualSpacing/>
    </w:pPr>
    <w:rPr>
      <w:rFonts w:asciiTheme="minorHAnsi" w:hAnsiTheme="minorHAnsi" w:cstheme="minorBidi"/>
    </w:rPr>
  </w:style>
  <w:style w:type="paragraph" w:styleId="TDC1">
    <w:name w:val="toc 1"/>
    <w:basedOn w:val="Normal"/>
    <w:next w:val="Normal"/>
    <w:autoRedefine/>
    <w:uiPriority w:val="39"/>
    <w:unhideWhenUsed/>
    <w:rsid w:val="00A93742"/>
    <w:pPr>
      <w:spacing w:after="100"/>
    </w:pPr>
  </w:style>
  <w:style w:type="character" w:styleId="Hipervnculo">
    <w:name w:val="Hyperlink"/>
    <w:basedOn w:val="Fuentedeprrafopredeter"/>
    <w:uiPriority w:val="99"/>
    <w:unhideWhenUsed/>
    <w:rsid w:val="00A93742"/>
    <w:rPr>
      <w:color w:val="0563C1" w:themeColor="hyperlink"/>
      <w:u w:val="single"/>
    </w:rPr>
  </w:style>
  <w:style w:type="paragraph" w:styleId="Encabezado">
    <w:name w:val="header"/>
    <w:basedOn w:val="Normal"/>
    <w:link w:val="EncabezadoCar"/>
    <w:uiPriority w:val="99"/>
    <w:unhideWhenUsed/>
    <w:rsid w:val="00A9374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93742"/>
  </w:style>
  <w:style w:type="paragraph" w:styleId="Piedepgina">
    <w:name w:val="footer"/>
    <w:basedOn w:val="Normal"/>
    <w:link w:val="PiedepginaCar"/>
    <w:uiPriority w:val="99"/>
    <w:unhideWhenUsed/>
    <w:rsid w:val="00A9374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93742"/>
  </w:style>
  <w:style w:type="paragraph" w:styleId="Textodeglobo">
    <w:name w:val="Balloon Text"/>
    <w:basedOn w:val="Normal"/>
    <w:link w:val="TextodegloboCar"/>
    <w:uiPriority w:val="99"/>
    <w:semiHidden/>
    <w:unhideWhenUsed/>
    <w:rsid w:val="003C2A7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C2A75"/>
    <w:rPr>
      <w:rFonts w:ascii="Tahoma" w:hAnsi="Tahoma" w:cs="Tahoma"/>
      <w:sz w:val="16"/>
      <w:szCs w:val="16"/>
    </w:rPr>
  </w:style>
  <w:style w:type="paragraph" w:styleId="Bibliografa">
    <w:name w:val="Bibliography"/>
    <w:basedOn w:val="Normal"/>
    <w:next w:val="Normal"/>
    <w:uiPriority w:val="37"/>
    <w:unhideWhenUsed/>
    <w:rsid w:val="006F2C64"/>
  </w:style>
  <w:style w:type="character" w:customStyle="1" w:styleId="Ttulo2Car">
    <w:name w:val="Título 2 Car"/>
    <w:basedOn w:val="Fuentedeprrafopredeter"/>
    <w:link w:val="Ttulo2"/>
    <w:uiPriority w:val="9"/>
    <w:rsid w:val="00731120"/>
    <w:rPr>
      <w:rFonts w:asciiTheme="majorHAnsi" w:eastAsiaTheme="majorEastAsia" w:hAnsiTheme="majorHAnsi" w:cstheme="majorBidi"/>
      <w:color w:val="2E74B5" w:themeColor="accent1" w:themeShade="BF"/>
      <w:sz w:val="26"/>
      <w:szCs w:val="26"/>
    </w:rPr>
  </w:style>
  <w:style w:type="paragraph" w:styleId="TDC2">
    <w:name w:val="toc 2"/>
    <w:basedOn w:val="Normal"/>
    <w:next w:val="Normal"/>
    <w:autoRedefine/>
    <w:uiPriority w:val="39"/>
    <w:unhideWhenUsed/>
    <w:rsid w:val="000430E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314260">
      <w:bodyDiv w:val="1"/>
      <w:marLeft w:val="0"/>
      <w:marRight w:val="0"/>
      <w:marTop w:val="0"/>
      <w:marBottom w:val="0"/>
      <w:divBdr>
        <w:top w:val="none" w:sz="0" w:space="0" w:color="auto"/>
        <w:left w:val="none" w:sz="0" w:space="0" w:color="auto"/>
        <w:bottom w:val="none" w:sz="0" w:space="0" w:color="auto"/>
        <w:right w:val="none" w:sz="0" w:space="0" w:color="auto"/>
      </w:divBdr>
    </w:div>
    <w:div w:id="500388440">
      <w:bodyDiv w:val="1"/>
      <w:marLeft w:val="0"/>
      <w:marRight w:val="0"/>
      <w:marTop w:val="0"/>
      <w:marBottom w:val="0"/>
      <w:divBdr>
        <w:top w:val="none" w:sz="0" w:space="0" w:color="auto"/>
        <w:left w:val="none" w:sz="0" w:space="0" w:color="auto"/>
        <w:bottom w:val="none" w:sz="0" w:space="0" w:color="auto"/>
        <w:right w:val="none" w:sz="0" w:space="0" w:color="auto"/>
      </w:divBdr>
    </w:div>
    <w:div w:id="545988663">
      <w:bodyDiv w:val="1"/>
      <w:marLeft w:val="0"/>
      <w:marRight w:val="0"/>
      <w:marTop w:val="0"/>
      <w:marBottom w:val="0"/>
      <w:divBdr>
        <w:top w:val="none" w:sz="0" w:space="0" w:color="auto"/>
        <w:left w:val="none" w:sz="0" w:space="0" w:color="auto"/>
        <w:bottom w:val="none" w:sz="0" w:space="0" w:color="auto"/>
        <w:right w:val="none" w:sz="0" w:space="0" w:color="auto"/>
      </w:divBdr>
    </w:div>
    <w:div w:id="562496136">
      <w:bodyDiv w:val="1"/>
      <w:marLeft w:val="0"/>
      <w:marRight w:val="0"/>
      <w:marTop w:val="0"/>
      <w:marBottom w:val="0"/>
      <w:divBdr>
        <w:top w:val="none" w:sz="0" w:space="0" w:color="auto"/>
        <w:left w:val="none" w:sz="0" w:space="0" w:color="auto"/>
        <w:bottom w:val="none" w:sz="0" w:space="0" w:color="auto"/>
        <w:right w:val="none" w:sz="0" w:space="0" w:color="auto"/>
      </w:divBdr>
    </w:div>
    <w:div w:id="945191840">
      <w:bodyDiv w:val="1"/>
      <w:marLeft w:val="0"/>
      <w:marRight w:val="0"/>
      <w:marTop w:val="0"/>
      <w:marBottom w:val="0"/>
      <w:divBdr>
        <w:top w:val="none" w:sz="0" w:space="0" w:color="auto"/>
        <w:left w:val="none" w:sz="0" w:space="0" w:color="auto"/>
        <w:bottom w:val="none" w:sz="0" w:space="0" w:color="auto"/>
        <w:right w:val="none" w:sz="0" w:space="0" w:color="auto"/>
      </w:divBdr>
    </w:div>
    <w:div w:id="957446787">
      <w:bodyDiv w:val="1"/>
      <w:marLeft w:val="0"/>
      <w:marRight w:val="0"/>
      <w:marTop w:val="0"/>
      <w:marBottom w:val="0"/>
      <w:divBdr>
        <w:top w:val="none" w:sz="0" w:space="0" w:color="auto"/>
        <w:left w:val="none" w:sz="0" w:space="0" w:color="auto"/>
        <w:bottom w:val="none" w:sz="0" w:space="0" w:color="auto"/>
        <w:right w:val="none" w:sz="0" w:space="0" w:color="auto"/>
      </w:divBdr>
    </w:div>
    <w:div w:id="996348728">
      <w:bodyDiv w:val="1"/>
      <w:marLeft w:val="0"/>
      <w:marRight w:val="0"/>
      <w:marTop w:val="0"/>
      <w:marBottom w:val="0"/>
      <w:divBdr>
        <w:top w:val="none" w:sz="0" w:space="0" w:color="auto"/>
        <w:left w:val="none" w:sz="0" w:space="0" w:color="auto"/>
        <w:bottom w:val="none" w:sz="0" w:space="0" w:color="auto"/>
        <w:right w:val="none" w:sz="0" w:space="0" w:color="auto"/>
      </w:divBdr>
    </w:div>
    <w:div w:id="1179585795">
      <w:bodyDiv w:val="1"/>
      <w:marLeft w:val="0"/>
      <w:marRight w:val="0"/>
      <w:marTop w:val="0"/>
      <w:marBottom w:val="0"/>
      <w:divBdr>
        <w:top w:val="none" w:sz="0" w:space="0" w:color="auto"/>
        <w:left w:val="none" w:sz="0" w:space="0" w:color="auto"/>
        <w:bottom w:val="none" w:sz="0" w:space="0" w:color="auto"/>
        <w:right w:val="none" w:sz="0" w:space="0" w:color="auto"/>
      </w:divBdr>
    </w:div>
    <w:div w:id="1221556979">
      <w:bodyDiv w:val="1"/>
      <w:marLeft w:val="0"/>
      <w:marRight w:val="0"/>
      <w:marTop w:val="0"/>
      <w:marBottom w:val="0"/>
      <w:divBdr>
        <w:top w:val="none" w:sz="0" w:space="0" w:color="auto"/>
        <w:left w:val="none" w:sz="0" w:space="0" w:color="auto"/>
        <w:bottom w:val="none" w:sz="0" w:space="0" w:color="auto"/>
        <w:right w:val="none" w:sz="0" w:space="0" w:color="auto"/>
      </w:divBdr>
    </w:div>
    <w:div w:id="1789203322">
      <w:bodyDiv w:val="1"/>
      <w:marLeft w:val="0"/>
      <w:marRight w:val="0"/>
      <w:marTop w:val="0"/>
      <w:marBottom w:val="0"/>
      <w:divBdr>
        <w:top w:val="none" w:sz="0" w:space="0" w:color="auto"/>
        <w:left w:val="none" w:sz="0" w:space="0" w:color="auto"/>
        <w:bottom w:val="none" w:sz="0" w:space="0" w:color="auto"/>
        <w:right w:val="none" w:sz="0" w:space="0" w:color="auto"/>
      </w:divBdr>
    </w:div>
    <w:div w:id="1956784889">
      <w:bodyDiv w:val="1"/>
      <w:marLeft w:val="0"/>
      <w:marRight w:val="0"/>
      <w:marTop w:val="0"/>
      <w:marBottom w:val="0"/>
      <w:divBdr>
        <w:top w:val="none" w:sz="0" w:space="0" w:color="auto"/>
        <w:left w:val="none" w:sz="0" w:space="0" w:color="auto"/>
        <w:bottom w:val="none" w:sz="0" w:space="0" w:color="auto"/>
        <w:right w:val="none" w:sz="0" w:space="0" w:color="auto"/>
      </w:divBdr>
    </w:div>
    <w:div w:id="201988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Fis11</b:Tag>
    <b:SourceType>Book</b:SourceType>
    <b:Guid>{D9504683-6541-4391-B776-A6FC7F7CAFEB}</b:Guid>
    <b:Author>
      <b:Author>
        <b:NameList>
          <b:Person>
            <b:Last>Fischer</b:Last>
            <b:First>Bryan</b:First>
            <b:Middle>R.</b:Middle>
          </b:Person>
        </b:NameList>
      </b:Author>
    </b:Author>
    <b:Title>MECHANICAL TOLERANCE STACKUP AND ANALYSIS</b:Title>
    <b:Year>2011</b:Year>
    <b:City>Boca Raton, FL</b:City>
    <b:Publisher>CRC Press</b:Publisher>
    <b:RefOrder>1</b:RefOrder>
  </b:Source>
</b:Sources>
</file>

<file path=customXml/itemProps1.xml><?xml version="1.0" encoding="utf-8"?>
<ds:datastoreItem xmlns:ds="http://schemas.openxmlformats.org/officeDocument/2006/customXml" ds:itemID="{74243A87-6D9D-4000-A81D-2982B6DCF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2662</Words>
  <Characters>14646</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javier gonzalez villalobos</dc:creator>
  <cp:keywords>tolerancia agujero ser parte ajuste</cp:keywords>
  <dc:description>Acumulación estadística de tolerancias con dimensiones._x000d_Estos son ajustes de holgura, ajustes de transición y ajustes  de interferencia. Estas tolerancias se aplican al eje y agujero nominales para lograr el ajuste indicado._x000d_Las partes deben ser seleccionadas aleatoriamente._x000d__x000d_Capítulo 8.- Análisis estadístico de tolerancias_x000d__x000d_El análisis estadístico de tolerancias determina la variación máxima probable o que sea posible para una dimensión seleccionada.</dc:description>
  <cp:lastModifiedBy>albero</cp:lastModifiedBy>
  <cp:revision>3</cp:revision>
  <dcterms:created xsi:type="dcterms:W3CDTF">2013-11-21T06:28:00Z</dcterms:created>
  <dcterms:modified xsi:type="dcterms:W3CDTF">2014-03-31T15:32:00Z</dcterms:modified>
</cp:coreProperties>
</file>