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B47" w:rsidRDefault="00212B47" w:rsidP="004E66C5">
      <w:pPr>
        <w:jc w:val="center"/>
        <w:rPr>
          <w:rFonts w:ascii="Arial" w:hAnsi="Arial"/>
          <w:b/>
          <w:bCs/>
          <w:sz w:val="24"/>
          <w:szCs w:val="24"/>
        </w:rPr>
      </w:pPr>
      <w:r>
        <w:rPr>
          <w:rFonts w:ascii="Arial" w:hAnsi="Arial"/>
          <w:b/>
          <w:bCs/>
          <w:sz w:val="24"/>
          <w:szCs w:val="24"/>
        </w:rPr>
        <w:t>ORGANIZACIÓN DE ESTADOS AMERICANOS –OEA-</w:t>
      </w: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s1027" type="#_x0000_t75" alt="http://www.mercosurtime.com/wp-content/uploads/2011/09/OEA.jpg" style="position:absolute;left:0;text-align:left;margin-left:121.2pt;margin-top:-.35pt;width:224.25pt;height:213.75pt;z-index:-251640832;visibility:visible">
            <v:imagedata r:id="rId7" o:title=""/>
          </v:shape>
        </w:pict>
      </w: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jc w:val="center"/>
        <w:rPr>
          <w:rFonts w:ascii="Arial" w:hAnsi="Arial"/>
          <w:b/>
          <w:bCs/>
          <w:sz w:val="24"/>
          <w:szCs w:val="24"/>
        </w:rPr>
      </w:pPr>
    </w:p>
    <w:p w:rsidR="00212B47" w:rsidRDefault="00212B47" w:rsidP="00686393">
      <w:pPr>
        <w:spacing w:after="0"/>
        <w:rPr>
          <w:rFonts w:ascii="Arial" w:hAnsi="Arial"/>
          <w:b/>
          <w:bCs/>
          <w:sz w:val="24"/>
          <w:szCs w:val="24"/>
        </w:rPr>
      </w:pPr>
    </w:p>
    <w:p w:rsidR="00212B47" w:rsidRDefault="00212B47" w:rsidP="00686393">
      <w:pPr>
        <w:spacing w:after="0"/>
        <w:jc w:val="center"/>
        <w:rPr>
          <w:rFonts w:ascii="Arial" w:hAnsi="Arial"/>
          <w:b/>
          <w:bCs/>
          <w:sz w:val="24"/>
          <w:szCs w:val="24"/>
        </w:rPr>
      </w:pPr>
      <w:r>
        <w:rPr>
          <w:rFonts w:ascii="Arial" w:hAnsi="Arial"/>
          <w:b/>
          <w:bCs/>
          <w:sz w:val="24"/>
          <w:szCs w:val="24"/>
        </w:rPr>
        <w:t>UNIVERSIDAD DE MEDELLIN</w:t>
      </w:r>
    </w:p>
    <w:p w:rsidR="00212B47" w:rsidRDefault="00212B47" w:rsidP="00686393">
      <w:pPr>
        <w:spacing w:after="0"/>
        <w:jc w:val="center"/>
        <w:rPr>
          <w:rFonts w:ascii="Arial" w:hAnsi="Arial"/>
          <w:b/>
          <w:bCs/>
          <w:sz w:val="24"/>
          <w:szCs w:val="24"/>
        </w:rPr>
      </w:pPr>
      <w:r>
        <w:rPr>
          <w:rFonts w:ascii="Arial" w:hAnsi="Arial"/>
          <w:b/>
          <w:bCs/>
          <w:sz w:val="24"/>
          <w:szCs w:val="24"/>
        </w:rPr>
        <w:t>FACULTAD CIENCIAS SOCIALES Y HUMANAS</w:t>
      </w:r>
    </w:p>
    <w:p w:rsidR="00212B47" w:rsidRDefault="00212B47" w:rsidP="00686393">
      <w:pPr>
        <w:spacing w:after="0"/>
        <w:jc w:val="center"/>
        <w:rPr>
          <w:rFonts w:ascii="Arial" w:hAnsi="Arial"/>
          <w:b/>
          <w:bCs/>
          <w:sz w:val="24"/>
          <w:szCs w:val="24"/>
        </w:rPr>
      </w:pPr>
      <w:r>
        <w:rPr>
          <w:rFonts w:ascii="Arial" w:hAnsi="Arial"/>
          <w:b/>
          <w:bCs/>
          <w:sz w:val="24"/>
          <w:szCs w:val="24"/>
        </w:rPr>
        <w:t>ORGANIZACIONES DE DERECHO INTERNACIONAL</w:t>
      </w:r>
    </w:p>
    <w:p w:rsidR="00212B47" w:rsidRDefault="00212B47" w:rsidP="00686393">
      <w:pPr>
        <w:spacing w:after="0"/>
        <w:jc w:val="center"/>
        <w:rPr>
          <w:rFonts w:ascii="Arial" w:hAnsi="Arial"/>
          <w:b/>
          <w:bCs/>
          <w:sz w:val="24"/>
          <w:szCs w:val="24"/>
        </w:rPr>
      </w:pPr>
      <w:r>
        <w:rPr>
          <w:rFonts w:ascii="Arial" w:hAnsi="Arial"/>
          <w:b/>
          <w:bCs/>
          <w:sz w:val="24"/>
          <w:szCs w:val="24"/>
        </w:rPr>
        <w:t>MEDELLIN, ANTIOQUIA</w:t>
      </w:r>
    </w:p>
    <w:p w:rsidR="00212B47" w:rsidRDefault="00212B47" w:rsidP="00686393">
      <w:pPr>
        <w:spacing w:after="0"/>
        <w:jc w:val="center"/>
        <w:rPr>
          <w:rFonts w:ascii="Arial" w:hAnsi="Arial"/>
          <w:b/>
          <w:bCs/>
          <w:sz w:val="24"/>
          <w:szCs w:val="24"/>
        </w:rPr>
      </w:pPr>
      <w:r>
        <w:rPr>
          <w:rFonts w:ascii="Arial" w:hAnsi="Arial"/>
          <w:b/>
          <w:bCs/>
          <w:sz w:val="24"/>
          <w:szCs w:val="24"/>
        </w:rPr>
        <w:t>2011</w:t>
      </w: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357B5E">
      <w:pPr>
        <w:pStyle w:val="TOCHeading"/>
      </w:pPr>
      <w:r>
        <w:rPr>
          <w:lang w:val="es-ES"/>
        </w:rPr>
        <w:t>OEA AMERICA</w:t>
      </w:r>
    </w:p>
    <w:p w:rsidR="00212B47" w:rsidRDefault="00212B47">
      <w:pPr>
        <w:pStyle w:val="TOC1"/>
        <w:tabs>
          <w:tab w:val="right" w:leader="dot" w:pos="9395"/>
        </w:tabs>
        <w:rPr>
          <w:noProof/>
          <w:lang w:eastAsia="es-CO"/>
        </w:rPr>
      </w:pPr>
      <w:r w:rsidRPr="005B4123">
        <w:rPr>
          <w:rFonts w:ascii="Arial" w:hAnsi="Arial"/>
          <w:noProof/>
        </w:rPr>
        <w:t>ANTECEDENTES</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INTRODUCCION</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MIEMBROS</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ESTRUCTURA</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OEA Y DERECHOS HUMANOS</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REFUGIADOS Y</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MARCO TEORICO</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Cartas y Tratados</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Proceso De Integración</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Caso Cuba</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Colombia y la OEA</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Caso Honduras</w:t>
      </w:r>
      <w:r>
        <w:rPr>
          <w:noProof/>
          <w:webHidden/>
        </w:rPr>
        <w:tab/>
        <w:t>3</w:t>
      </w:r>
    </w:p>
    <w:p w:rsidR="00212B47" w:rsidRDefault="00212B47">
      <w:pPr>
        <w:pStyle w:val="TOC2"/>
        <w:tabs>
          <w:tab w:val="right" w:leader="dot" w:pos="9395"/>
        </w:tabs>
        <w:rPr>
          <w:noProof/>
          <w:lang w:eastAsia="es-CO"/>
        </w:rPr>
      </w:pPr>
      <w:r w:rsidRPr="005B4123">
        <w:rPr>
          <w:rFonts w:ascii="Arial" w:hAnsi="Arial"/>
          <w:noProof/>
        </w:rPr>
        <w:t>DEFECTOS DE LA OEA</w:t>
      </w:r>
      <w:r>
        <w:rPr>
          <w:noProof/>
          <w:webHidden/>
        </w:rPr>
        <w:tab/>
        <w:t>3</w:t>
      </w:r>
    </w:p>
    <w:p w:rsidR="00212B47" w:rsidRDefault="00212B47">
      <w:pPr>
        <w:pStyle w:val="TOC1"/>
        <w:tabs>
          <w:tab w:val="right" w:leader="dot" w:pos="9395"/>
        </w:tabs>
        <w:rPr>
          <w:noProof/>
          <w:lang w:eastAsia="es-CO"/>
        </w:rPr>
      </w:pPr>
      <w:r w:rsidRPr="005B4123">
        <w:rPr>
          <w:rFonts w:ascii="Arial" w:hAnsi="Arial"/>
          <w:noProof/>
        </w:rPr>
        <w:t>BIBLIOGRAFIA Y CIBERGRAFIA</w:t>
      </w:r>
      <w:r>
        <w:rPr>
          <w:noProof/>
          <w:webHidden/>
        </w:rPr>
        <w:tab/>
        <w:t>3</w:t>
      </w:r>
    </w:p>
    <w:p w:rsidR="00212B47" w:rsidRDefault="00212B47"/>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4E66C5">
      <w:pPr>
        <w:jc w:val="center"/>
        <w:rPr>
          <w:rFonts w:ascii="Arial" w:hAnsi="Arial"/>
          <w:b/>
          <w:bCs/>
          <w:sz w:val="24"/>
          <w:szCs w:val="24"/>
        </w:rPr>
      </w:pPr>
    </w:p>
    <w:p w:rsidR="00212B47" w:rsidRDefault="00212B47" w:rsidP="00357B5E">
      <w:pPr>
        <w:rPr>
          <w:rFonts w:ascii="Arial" w:hAnsi="Arial"/>
          <w:b/>
          <w:bCs/>
          <w:sz w:val="24"/>
          <w:szCs w:val="24"/>
        </w:rPr>
      </w:pPr>
    </w:p>
    <w:p w:rsidR="00212B47" w:rsidRDefault="00212B47" w:rsidP="00357B5E">
      <w:pPr>
        <w:rPr>
          <w:rFonts w:ascii="Arial" w:hAnsi="Arial"/>
          <w:b/>
          <w:bCs/>
          <w:sz w:val="24"/>
          <w:szCs w:val="24"/>
        </w:rPr>
      </w:pPr>
    </w:p>
    <w:p w:rsidR="00212B47" w:rsidRDefault="00212B47" w:rsidP="00357B5E">
      <w:pPr>
        <w:rPr>
          <w:rFonts w:ascii="Arial" w:hAnsi="Arial"/>
          <w:b/>
          <w:bCs/>
          <w:sz w:val="24"/>
          <w:szCs w:val="24"/>
        </w:rPr>
      </w:pPr>
    </w:p>
    <w:p w:rsidR="00212B47" w:rsidRDefault="00212B47" w:rsidP="00357B5E">
      <w:pPr>
        <w:rPr>
          <w:rFonts w:ascii="Arial" w:hAnsi="Arial"/>
          <w:b/>
          <w:bCs/>
          <w:sz w:val="24"/>
          <w:szCs w:val="24"/>
        </w:rPr>
      </w:pPr>
    </w:p>
    <w:p w:rsidR="00212B47" w:rsidRDefault="00212B47" w:rsidP="004E66C5">
      <w:pPr>
        <w:jc w:val="center"/>
        <w:rPr>
          <w:rFonts w:ascii="Arial" w:hAnsi="Arial"/>
          <w:b/>
          <w:bCs/>
          <w:sz w:val="24"/>
          <w:szCs w:val="24"/>
        </w:rPr>
      </w:pPr>
      <w:r>
        <w:rPr>
          <w:rFonts w:ascii="Arial" w:hAnsi="Arial"/>
          <w:b/>
          <w:bCs/>
          <w:sz w:val="24"/>
          <w:szCs w:val="24"/>
        </w:rPr>
        <w:t>ORGANIZACIÓN DE ESTADOS AMERICANOS – OEA</w:t>
      </w:r>
    </w:p>
    <w:p w:rsidR="00212B47" w:rsidRDefault="00212B47" w:rsidP="004E66C5">
      <w:pPr>
        <w:jc w:val="center"/>
        <w:rPr>
          <w:rFonts w:ascii="Arial" w:hAnsi="Arial"/>
          <w:b/>
          <w:bCs/>
          <w:sz w:val="24"/>
          <w:szCs w:val="24"/>
        </w:rPr>
      </w:pPr>
    </w:p>
    <w:p w:rsidR="00212B47" w:rsidRDefault="00212B47" w:rsidP="005710A5">
      <w:pPr>
        <w:spacing w:after="0"/>
        <w:jc w:val="both"/>
        <w:rPr>
          <w:rFonts w:ascii="Arial" w:hAnsi="Arial"/>
          <w:b/>
          <w:bCs/>
          <w:sz w:val="24"/>
          <w:szCs w:val="24"/>
        </w:rPr>
      </w:pPr>
      <w:bookmarkStart w:id="0" w:name="_Toc304368404"/>
      <w:r w:rsidRPr="006666AB">
        <w:rPr>
          <w:rStyle w:val="Heading1Char"/>
          <w:rFonts w:ascii="Arial" w:hAnsi="Arial" w:cs="Arial"/>
          <w:color w:val="000000"/>
          <w:sz w:val="24"/>
          <w:szCs w:val="24"/>
        </w:rPr>
        <w:t>ANTECEDENTES</w:t>
      </w:r>
      <w:bookmarkEnd w:id="0"/>
      <w:r>
        <w:rPr>
          <w:rFonts w:ascii="Arial" w:hAnsi="Arial"/>
          <w:b/>
          <w:bCs/>
          <w:sz w:val="24"/>
          <w:szCs w:val="24"/>
        </w:rPr>
        <w:t xml:space="preserve"> </w:t>
      </w:r>
    </w:p>
    <w:p w:rsidR="00212B47" w:rsidRDefault="00212B47" w:rsidP="005710A5">
      <w:pPr>
        <w:spacing w:after="0"/>
        <w:jc w:val="both"/>
        <w:rPr>
          <w:rFonts w:ascii="Arial" w:hAnsi="Arial"/>
          <w:sz w:val="24"/>
          <w:szCs w:val="24"/>
        </w:rPr>
      </w:pPr>
    </w:p>
    <w:p w:rsidR="00212B47" w:rsidRDefault="00212B47" w:rsidP="00BC7304">
      <w:pPr>
        <w:spacing w:after="0"/>
        <w:jc w:val="both"/>
        <w:rPr>
          <w:rFonts w:ascii="Arial" w:hAnsi="Arial"/>
          <w:sz w:val="24"/>
          <w:szCs w:val="24"/>
        </w:rPr>
      </w:pPr>
      <w:r>
        <w:rPr>
          <w:rFonts w:ascii="Arial" w:hAnsi="Arial"/>
          <w:sz w:val="24"/>
          <w:szCs w:val="24"/>
        </w:rPr>
        <w:t xml:space="preserve">La OEA es el organismo regional más antiguo del mundo, fue constituida en la primera conferencia interamericana celebrada en Washington en el año de 1889, empezándose a interrelacionar una comunidad supraestatal con fines de integración, cooperación y la paz entre los Estados miembros. </w:t>
      </w:r>
    </w:p>
    <w:p w:rsidR="00212B47" w:rsidRDefault="00212B47" w:rsidP="00BC7304">
      <w:pPr>
        <w:spacing w:after="0"/>
        <w:jc w:val="both"/>
        <w:rPr>
          <w:rFonts w:ascii="Arial" w:hAnsi="Arial"/>
          <w:sz w:val="24"/>
          <w:szCs w:val="24"/>
        </w:rPr>
      </w:pPr>
    </w:p>
    <w:p w:rsidR="00212B47" w:rsidRDefault="00212B47" w:rsidP="00BC7304">
      <w:pPr>
        <w:spacing w:after="0"/>
        <w:jc w:val="both"/>
        <w:rPr>
          <w:rFonts w:ascii="Arial" w:hAnsi="Arial"/>
          <w:sz w:val="24"/>
          <w:szCs w:val="24"/>
        </w:rPr>
      </w:pPr>
      <w:r>
        <w:rPr>
          <w:rFonts w:ascii="Arial" w:hAnsi="Arial"/>
          <w:sz w:val="24"/>
          <w:szCs w:val="24"/>
        </w:rPr>
        <w:t>Específicamente fue creada en 1948 en la Ciudad de Bogotá, Colombia y ratificada por el protocolo de Washington suscrito en 1992.</w:t>
      </w:r>
    </w:p>
    <w:p w:rsidR="00212B47" w:rsidRDefault="00212B47" w:rsidP="00BC7304">
      <w:pPr>
        <w:spacing w:after="0"/>
        <w:jc w:val="both"/>
        <w:rPr>
          <w:rFonts w:ascii="Arial" w:hAnsi="Arial"/>
          <w:sz w:val="24"/>
          <w:szCs w:val="24"/>
        </w:rPr>
      </w:pPr>
    </w:p>
    <w:p w:rsidR="00212B47" w:rsidRDefault="00212B47" w:rsidP="008115EA">
      <w:pPr>
        <w:spacing w:after="0"/>
        <w:jc w:val="both"/>
        <w:rPr>
          <w:rFonts w:ascii="Arial" w:hAnsi="Arial"/>
          <w:sz w:val="24"/>
          <w:szCs w:val="24"/>
        </w:rPr>
      </w:pPr>
      <w:r>
        <w:rPr>
          <w:rFonts w:ascii="Arial" w:hAnsi="Arial"/>
          <w:sz w:val="24"/>
          <w:szCs w:val="24"/>
        </w:rPr>
        <w:t>Para la OEA cumplir los propósitos del acta de fundación, se basa en requisitos indispensables para tener derecho y escaño en la asamblea, acotando la democracia, la seguridad y los Derechos Humanos.</w:t>
      </w:r>
    </w:p>
    <w:p w:rsidR="00212B47" w:rsidRDefault="00212B47" w:rsidP="00BC7304">
      <w:pPr>
        <w:spacing w:after="0"/>
        <w:jc w:val="both"/>
        <w:rPr>
          <w:rFonts w:ascii="Arial" w:hAnsi="Arial"/>
          <w:sz w:val="24"/>
          <w:szCs w:val="24"/>
        </w:rPr>
      </w:pPr>
    </w:p>
    <w:p w:rsidR="00212B47" w:rsidRPr="006666AB" w:rsidRDefault="00212B47" w:rsidP="00357B5E">
      <w:pPr>
        <w:pStyle w:val="Heading1"/>
        <w:rPr>
          <w:rFonts w:ascii="Arial" w:hAnsi="Arial" w:cs="Arial"/>
          <w:color w:val="000000"/>
          <w:sz w:val="24"/>
          <w:szCs w:val="24"/>
        </w:rPr>
      </w:pPr>
      <w:bookmarkStart w:id="1" w:name="_Toc304368405"/>
      <w:r w:rsidRPr="006666AB">
        <w:rPr>
          <w:rFonts w:ascii="Arial" w:hAnsi="Arial" w:cs="Arial"/>
          <w:color w:val="000000"/>
          <w:sz w:val="24"/>
          <w:szCs w:val="24"/>
        </w:rPr>
        <w:t>INTRODUCCION</w:t>
      </w:r>
      <w:bookmarkEnd w:id="1"/>
    </w:p>
    <w:p w:rsidR="00212B47" w:rsidRPr="008115EA" w:rsidRDefault="00212B47" w:rsidP="00BC7304">
      <w:pPr>
        <w:spacing w:after="0"/>
        <w:jc w:val="both"/>
        <w:rPr>
          <w:rFonts w:ascii="Arial" w:hAnsi="Arial"/>
          <w:b/>
          <w:bCs/>
          <w:sz w:val="24"/>
          <w:szCs w:val="24"/>
        </w:rPr>
      </w:pPr>
    </w:p>
    <w:p w:rsidR="00212B47" w:rsidRDefault="00212B47" w:rsidP="00BC7304">
      <w:pPr>
        <w:spacing w:after="0"/>
        <w:jc w:val="both"/>
        <w:rPr>
          <w:rFonts w:ascii="Arial" w:hAnsi="Arial"/>
          <w:sz w:val="24"/>
          <w:szCs w:val="24"/>
        </w:rPr>
      </w:pPr>
      <w:r>
        <w:rPr>
          <w:rFonts w:ascii="Arial" w:hAnsi="Arial"/>
          <w:sz w:val="24"/>
          <w:szCs w:val="24"/>
        </w:rPr>
        <w:t>En la actualidad hacen parte del ente 35 Estados del hemisferio Occidental, es considerado por muchos analistas el órgano por excelencia para dirimir y  discutir temas políticos, jurídicos, militares, económicos y sociales coyunturales y controversias que entorpezcan la solidaridad y la soberanía de los países.</w:t>
      </w:r>
    </w:p>
    <w:p w:rsidR="00212B47" w:rsidRDefault="00212B47" w:rsidP="00BC7304">
      <w:pPr>
        <w:spacing w:after="0"/>
        <w:jc w:val="both"/>
        <w:rPr>
          <w:rFonts w:ascii="Arial" w:hAnsi="Arial"/>
          <w:sz w:val="24"/>
          <w:szCs w:val="24"/>
        </w:rPr>
      </w:pPr>
    </w:p>
    <w:p w:rsidR="00212B47" w:rsidRDefault="00212B47" w:rsidP="008115EA">
      <w:pPr>
        <w:spacing w:after="0"/>
        <w:jc w:val="both"/>
        <w:rPr>
          <w:rFonts w:ascii="Arial" w:hAnsi="Arial"/>
          <w:sz w:val="24"/>
          <w:szCs w:val="24"/>
        </w:rPr>
      </w:pPr>
      <w:r>
        <w:rPr>
          <w:rFonts w:ascii="Arial" w:hAnsi="Arial"/>
          <w:sz w:val="24"/>
          <w:szCs w:val="24"/>
        </w:rPr>
        <w:t>Los propósitos fundantes se enmarcan en el ámbito de la Democracia y la Seguridad, busca prevenir cualquier tipo de agresión armada, repeler ataques estructurales y sistemáticos en relación al sistema económico, afianzar la solidaridad en un espectro de cooperación, reducir a la máxima expresión el armamentismo convencional para tener ambiente de paz.</w:t>
      </w:r>
    </w:p>
    <w:p w:rsidR="00212B47" w:rsidRDefault="00212B47" w:rsidP="008115EA">
      <w:pPr>
        <w:spacing w:after="0"/>
        <w:jc w:val="both"/>
        <w:rPr>
          <w:rFonts w:ascii="Arial" w:hAnsi="Arial"/>
          <w:sz w:val="24"/>
          <w:szCs w:val="24"/>
        </w:rPr>
      </w:pPr>
      <w:r>
        <w:rPr>
          <w:rFonts w:ascii="Arial" w:hAnsi="Arial"/>
          <w:sz w:val="24"/>
          <w:szCs w:val="24"/>
        </w:rPr>
        <w:t xml:space="preserve"> </w:t>
      </w:r>
    </w:p>
    <w:p w:rsidR="00212B47" w:rsidRDefault="00212B47" w:rsidP="008115EA">
      <w:pPr>
        <w:spacing w:after="0"/>
        <w:jc w:val="both"/>
        <w:rPr>
          <w:rFonts w:ascii="Arial" w:hAnsi="Arial"/>
          <w:sz w:val="24"/>
          <w:szCs w:val="24"/>
        </w:rPr>
      </w:pPr>
      <w:r>
        <w:rPr>
          <w:rFonts w:ascii="Arial" w:hAnsi="Arial"/>
          <w:sz w:val="24"/>
          <w:szCs w:val="24"/>
        </w:rPr>
        <w:t>Para cumplir los anteriores mandatos, los estados corroboran los principios del Derecho Internacional, en el entendido de que es Norma de Conducta entre los estados; Velaran por el cumplimiento de las obligaciones emanadas de los Tratados Internacionales, incorporándolos al orden Interno mediante el Bloque de Constitucionalidad; la buena fe debe regir en las relaciones bilaterales; todo estado tiene derecho a elegir su sistema político, económico y social y otro principio esencial es la condena de la agresión así sea preventiva o contra terroristas, pues se aduce que  la victoria no da derechos.</w:t>
      </w:r>
    </w:p>
    <w:p w:rsidR="00212B47" w:rsidRDefault="00212B47" w:rsidP="00357B5E">
      <w:pPr>
        <w:pStyle w:val="Heading1"/>
        <w:rPr>
          <w:rFonts w:ascii="Arial" w:hAnsi="Arial" w:cs="Arial"/>
          <w:color w:val="000000"/>
          <w:sz w:val="24"/>
          <w:szCs w:val="24"/>
        </w:rPr>
      </w:pPr>
    </w:p>
    <w:p w:rsidR="00212B47" w:rsidRPr="006666AB" w:rsidRDefault="00212B47" w:rsidP="00357B5E">
      <w:pPr>
        <w:pStyle w:val="Heading1"/>
        <w:rPr>
          <w:rFonts w:ascii="Arial" w:hAnsi="Arial" w:cs="Arial"/>
          <w:color w:val="000000"/>
          <w:sz w:val="24"/>
          <w:szCs w:val="24"/>
        </w:rPr>
      </w:pPr>
      <w:bookmarkStart w:id="2" w:name="_Toc304368406"/>
      <w:r w:rsidRPr="006666AB">
        <w:rPr>
          <w:rFonts w:ascii="Arial" w:hAnsi="Arial" w:cs="Arial"/>
          <w:color w:val="000000"/>
          <w:sz w:val="24"/>
          <w:szCs w:val="24"/>
        </w:rPr>
        <w:t>MIEMBROS</w:t>
      </w:r>
      <w:bookmarkEnd w:id="2"/>
    </w:p>
    <w:p w:rsidR="00212B47" w:rsidRDefault="00212B47" w:rsidP="00BC7304">
      <w:pPr>
        <w:spacing w:after="0"/>
        <w:jc w:val="both"/>
        <w:rPr>
          <w:rFonts w:ascii="Arial" w:hAnsi="Arial"/>
          <w:b/>
          <w:bCs/>
          <w:sz w:val="24"/>
          <w:szCs w:val="24"/>
        </w:rPr>
      </w:pPr>
    </w:p>
    <w:p w:rsidR="00212B47" w:rsidRDefault="00212B47" w:rsidP="008115EA">
      <w:pPr>
        <w:shd w:val="clear" w:color="auto" w:fill="FFFFFF"/>
        <w:spacing w:before="192" w:after="192"/>
        <w:ind w:right="144"/>
        <w:jc w:val="both"/>
        <w:rPr>
          <w:rFonts w:ascii="Arial" w:hAnsi="Arial"/>
          <w:color w:val="000000"/>
          <w:sz w:val="24"/>
          <w:szCs w:val="24"/>
        </w:rPr>
      </w:pPr>
      <w:r w:rsidRPr="006E1D52">
        <w:rPr>
          <w:rFonts w:ascii="Arial" w:hAnsi="Arial"/>
          <w:color w:val="000000"/>
          <w:sz w:val="24"/>
          <w:szCs w:val="24"/>
        </w:rPr>
        <w:t xml:space="preserve">Los 35 países independientes de las Américas han ratificado la </w:t>
      </w:r>
      <w:r w:rsidRPr="005B4123">
        <w:rPr>
          <w:rFonts w:ascii="Arial" w:hAnsi="Arial"/>
          <w:sz w:val="24"/>
          <w:szCs w:val="24"/>
        </w:rPr>
        <w:t>Carta de la OEA</w:t>
      </w:r>
      <w:r w:rsidRPr="006E1D52">
        <w:rPr>
          <w:rFonts w:ascii="Arial" w:hAnsi="Arial"/>
          <w:color w:val="000000"/>
          <w:sz w:val="24"/>
          <w:szCs w:val="24"/>
        </w:rPr>
        <w:t xml:space="preserve"> y pertenecen a la Organización. </w:t>
      </w:r>
    </w:p>
    <w:p w:rsidR="00212B47" w:rsidRPr="006E1D52" w:rsidRDefault="00212B47" w:rsidP="008115EA">
      <w:pPr>
        <w:shd w:val="clear" w:color="auto" w:fill="FFFFFF"/>
        <w:spacing w:before="192" w:after="192"/>
        <w:ind w:right="144"/>
        <w:jc w:val="both"/>
        <w:rPr>
          <w:rFonts w:ascii="Arial" w:hAnsi="Arial"/>
          <w:color w:val="000000"/>
          <w:sz w:val="24"/>
          <w:szCs w:val="24"/>
        </w:rPr>
      </w:pPr>
      <w:r w:rsidRPr="006E1D52">
        <w:rPr>
          <w:rFonts w:ascii="Arial" w:hAnsi="Arial"/>
          <w:color w:val="000000"/>
          <w:sz w:val="24"/>
          <w:szCs w:val="24"/>
        </w:rPr>
        <w:t>Miembros originales:</w:t>
      </w:r>
    </w:p>
    <w:p w:rsidR="00212B47" w:rsidRPr="006E1D52" w:rsidRDefault="00212B47" w:rsidP="008115EA">
      <w:pPr>
        <w:shd w:val="clear" w:color="auto" w:fill="FFFFFF"/>
        <w:spacing w:before="192" w:after="240"/>
        <w:ind w:right="144"/>
        <w:jc w:val="both"/>
        <w:rPr>
          <w:rFonts w:ascii="Arial" w:hAnsi="Arial"/>
          <w:color w:val="000000"/>
          <w:sz w:val="24"/>
          <w:szCs w:val="24"/>
        </w:rPr>
      </w:pPr>
      <w:r w:rsidRPr="006E1D52">
        <w:rPr>
          <w:rFonts w:ascii="Arial" w:hAnsi="Arial"/>
          <w:color w:val="000000"/>
          <w:sz w:val="24"/>
          <w:szCs w:val="24"/>
        </w:rPr>
        <w:t xml:space="preserve">Los siguientes veintiún países se reunieron en Bogotá en 1948 para la firma de la Carta de la OEA: </w:t>
      </w:r>
      <w:r w:rsidRPr="005B4123">
        <w:rPr>
          <w:rFonts w:ascii="Arial" w:hAnsi="Arial"/>
          <w:sz w:val="24"/>
          <w:szCs w:val="24"/>
        </w:rPr>
        <w:t>Argentina</w:t>
      </w:r>
      <w:r w:rsidRPr="006E1D52">
        <w:rPr>
          <w:rFonts w:ascii="Arial" w:hAnsi="Arial"/>
          <w:color w:val="000000"/>
          <w:sz w:val="24"/>
          <w:szCs w:val="24"/>
        </w:rPr>
        <w:t xml:space="preserve">, </w:t>
      </w:r>
      <w:r w:rsidRPr="005B4123">
        <w:rPr>
          <w:rFonts w:ascii="Arial" w:hAnsi="Arial"/>
          <w:sz w:val="24"/>
          <w:szCs w:val="24"/>
        </w:rPr>
        <w:t>Bolivia</w:t>
      </w:r>
      <w:r w:rsidRPr="006E1D52">
        <w:rPr>
          <w:rFonts w:ascii="Arial" w:hAnsi="Arial"/>
          <w:color w:val="000000"/>
          <w:sz w:val="24"/>
          <w:szCs w:val="24"/>
        </w:rPr>
        <w:t xml:space="preserve">, </w:t>
      </w:r>
      <w:r w:rsidRPr="005B4123">
        <w:rPr>
          <w:rFonts w:ascii="Arial" w:hAnsi="Arial"/>
          <w:sz w:val="24"/>
          <w:szCs w:val="24"/>
        </w:rPr>
        <w:t>Brasil</w:t>
      </w:r>
      <w:r w:rsidRPr="006E1D52">
        <w:rPr>
          <w:rFonts w:ascii="Arial" w:hAnsi="Arial"/>
          <w:color w:val="000000"/>
          <w:sz w:val="24"/>
          <w:szCs w:val="24"/>
        </w:rPr>
        <w:t xml:space="preserve">, </w:t>
      </w:r>
      <w:r w:rsidRPr="005B4123">
        <w:rPr>
          <w:rFonts w:ascii="Arial" w:hAnsi="Arial"/>
          <w:sz w:val="24"/>
          <w:szCs w:val="24"/>
        </w:rPr>
        <w:t>Chile</w:t>
      </w:r>
      <w:r w:rsidRPr="006E1D52">
        <w:rPr>
          <w:rFonts w:ascii="Arial" w:hAnsi="Arial"/>
          <w:color w:val="000000"/>
          <w:sz w:val="24"/>
          <w:szCs w:val="24"/>
        </w:rPr>
        <w:t xml:space="preserve">, </w:t>
      </w:r>
      <w:r w:rsidRPr="005B4123">
        <w:rPr>
          <w:rFonts w:ascii="Arial" w:hAnsi="Arial"/>
          <w:sz w:val="24"/>
          <w:szCs w:val="24"/>
        </w:rPr>
        <w:t>Colombia</w:t>
      </w:r>
      <w:r w:rsidRPr="006E1D52">
        <w:rPr>
          <w:rFonts w:ascii="Arial" w:hAnsi="Arial"/>
          <w:color w:val="000000"/>
          <w:sz w:val="24"/>
          <w:szCs w:val="24"/>
        </w:rPr>
        <w:t xml:space="preserve">, </w:t>
      </w:r>
      <w:r w:rsidRPr="005B4123">
        <w:rPr>
          <w:rFonts w:ascii="Arial" w:hAnsi="Arial"/>
          <w:sz w:val="24"/>
          <w:szCs w:val="24"/>
        </w:rPr>
        <w:t>Costa Rica</w:t>
      </w:r>
      <w:r w:rsidRPr="006E1D52">
        <w:rPr>
          <w:rFonts w:ascii="Arial" w:hAnsi="Arial"/>
          <w:color w:val="000000"/>
          <w:sz w:val="24"/>
          <w:szCs w:val="24"/>
        </w:rPr>
        <w:t>, Cuba</w:t>
      </w:r>
      <w:r w:rsidRPr="005B4123">
        <w:rPr>
          <w:rFonts w:ascii="Arial" w:hAnsi="Arial"/>
          <w:sz w:val="24"/>
          <w:szCs w:val="24"/>
          <w:vertAlign w:val="superscript"/>
        </w:rPr>
        <w:t>1</w:t>
      </w:r>
      <w:r w:rsidRPr="006E1D52">
        <w:rPr>
          <w:rFonts w:ascii="Arial" w:hAnsi="Arial"/>
          <w:color w:val="000000"/>
          <w:sz w:val="24"/>
          <w:szCs w:val="24"/>
        </w:rPr>
        <w:t xml:space="preserve">, </w:t>
      </w:r>
      <w:r w:rsidRPr="005B4123">
        <w:rPr>
          <w:rFonts w:ascii="Arial" w:hAnsi="Arial"/>
          <w:sz w:val="24"/>
          <w:szCs w:val="24"/>
        </w:rPr>
        <w:t>Ecuador</w:t>
      </w:r>
      <w:r w:rsidRPr="006E1D52">
        <w:rPr>
          <w:rFonts w:ascii="Arial" w:hAnsi="Arial"/>
          <w:color w:val="000000"/>
          <w:sz w:val="24"/>
          <w:szCs w:val="24"/>
        </w:rPr>
        <w:t xml:space="preserve">, </w:t>
      </w:r>
      <w:r w:rsidRPr="005B4123">
        <w:rPr>
          <w:rFonts w:ascii="Arial" w:hAnsi="Arial"/>
          <w:sz w:val="24"/>
          <w:szCs w:val="24"/>
        </w:rPr>
        <w:t>El Salvador</w:t>
      </w:r>
      <w:r w:rsidRPr="006E1D52">
        <w:rPr>
          <w:rFonts w:ascii="Arial" w:hAnsi="Arial"/>
          <w:color w:val="000000"/>
          <w:sz w:val="24"/>
          <w:szCs w:val="24"/>
        </w:rPr>
        <w:t xml:space="preserve">, </w:t>
      </w:r>
      <w:r w:rsidRPr="005B4123">
        <w:rPr>
          <w:rFonts w:ascii="Arial" w:hAnsi="Arial"/>
          <w:sz w:val="24"/>
          <w:szCs w:val="24"/>
        </w:rPr>
        <w:t>Estados Unidos de América</w:t>
      </w:r>
      <w:r w:rsidRPr="006E1D52">
        <w:rPr>
          <w:rFonts w:ascii="Arial" w:hAnsi="Arial"/>
          <w:color w:val="000000"/>
          <w:sz w:val="24"/>
          <w:szCs w:val="24"/>
        </w:rPr>
        <w:t xml:space="preserve">, </w:t>
      </w:r>
      <w:r w:rsidRPr="005B4123">
        <w:rPr>
          <w:rFonts w:ascii="Arial" w:hAnsi="Arial"/>
          <w:sz w:val="24"/>
          <w:szCs w:val="24"/>
        </w:rPr>
        <w:t>Guatemala</w:t>
      </w:r>
      <w:r w:rsidRPr="006E1D52">
        <w:rPr>
          <w:rFonts w:ascii="Arial" w:hAnsi="Arial"/>
          <w:color w:val="000000"/>
          <w:sz w:val="24"/>
          <w:szCs w:val="24"/>
        </w:rPr>
        <w:t xml:space="preserve">, </w:t>
      </w:r>
      <w:r w:rsidRPr="005B4123">
        <w:rPr>
          <w:rFonts w:ascii="Arial" w:hAnsi="Arial"/>
          <w:sz w:val="24"/>
          <w:szCs w:val="24"/>
        </w:rPr>
        <w:t>Haití</w:t>
      </w:r>
      <w:r w:rsidRPr="006E1D52">
        <w:rPr>
          <w:rFonts w:ascii="Arial" w:hAnsi="Arial"/>
          <w:color w:val="000000"/>
          <w:sz w:val="24"/>
          <w:szCs w:val="24"/>
        </w:rPr>
        <w:t xml:space="preserve">, </w:t>
      </w:r>
      <w:r w:rsidRPr="005B4123">
        <w:rPr>
          <w:rFonts w:ascii="Arial" w:hAnsi="Arial"/>
          <w:sz w:val="24"/>
          <w:szCs w:val="24"/>
        </w:rPr>
        <w:t>Honduras</w:t>
      </w:r>
      <w:r w:rsidRPr="006E1D52">
        <w:rPr>
          <w:rFonts w:ascii="Arial" w:hAnsi="Arial"/>
          <w:color w:val="000000"/>
          <w:sz w:val="24"/>
          <w:szCs w:val="24"/>
        </w:rPr>
        <w:t xml:space="preserve">, </w:t>
      </w:r>
      <w:r w:rsidRPr="005B4123">
        <w:rPr>
          <w:rFonts w:ascii="Arial" w:hAnsi="Arial"/>
          <w:sz w:val="24"/>
          <w:szCs w:val="24"/>
        </w:rPr>
        <w:t>México</w:t>
      </w:r>
      <w:r w:rsidRPr="006E1D52">
        <w:rPr>
          <w:rFonts w:ascii="Arial" w:hAnsi="Arial"/>
          <w:color w:val="000000"/>
          <w:sz w:val="24"/>
          <w:szCs w:val="24"/>
        </w:rPr>
        <w:t xml:space="preserve">, </w:t>
      </w:r>
      <w:r w:rsidRPr="005B4123">
        <w:rPr>
          <w:rFonts w:ascii="Arial" w:hAnsi="Arial"/>
          <w:sz w:val="24"/>
          <w:szCs w:val="24"/>
        </w:rPr>
        <w:t>Nicaragua</w:t>
      </w:r>
      <w:r w:rsidRPr="006E1D52">
        <w:rPr>
          <w:rFonts w:ascii="Arial" w:hAnsi="Arial"/>
          <w:color w:val="000000"/>
          <w:sz w:val="24"/>
          <w:szCs w:val="24"/>
        </w:rPr>
        <w:t xml:space="preserve">, </w:t>
      </w:r>
      <w:r w:rsidRPr="005B4123">
        <w:rPr>
          <w:rFonts w:ascii="Arial" w:hAnsi="Arial"/>
          <w:sz w:val="24"/>
          <w:szCs w:val="24"/>
        </w:rPr>
        <w:t>Panamá</w:t>
      </w:r>
      <w:r w:rsidRPr="006E1D52">
        <w:rPr>
          <w:rFonts w:ascii="Arial" w:hAnsi="Arial"/>
          <w:color w:val="000000"/>
          <w:sz w:val="24"/>
          <w:szCs w:val="24"/>
        </w:rPr>
        <w:t xml:space="preserve">, </w:t>
      </w:r>
      <w:r w:rsidRPr="005B4123">
        <w:rPr>
          <w:rFonts w:ascii="Arial" w:hAnsi="Arial"/>
          <w:sz w:val="24"/>
          <w:szCs w:val="24"/>
        </w:rPr>
        <w:t>Paraguay</w:t>
      </w:r>
      <w:r w:rsidRPr="006E1D52">
        <w:rPr>
          <w:rFonts w:ascii="Arial" w:hAnsi="Arial"/>
          <w:color w:val="000000"/>
          <w:sz w:val="24"/>
          <w:szCs w:val="24"/>
        </w:rPr>
        <w:t xml:space="preserve">, </w:t>
      </w:r>
      <w:r w:rsidRPr="005B4123">
        <w:rPr>
          <w:rFonts w:ascii="Arial" w:hAnsi="Arial"/>
          <w:sz w:val="24"/>
          <w:szCs w:val="24"/>
        </w:rPr>
        <w:t>Perú</w:t>
      </w:r>
      <w:r w:rsidRPr="006E1D52">
        <w:rPr>
          <w:rFonts w:ascii="Arial" w:hAnsi="Arial"/>
          <w:color w:val="000000"/>
          <w:sz w:val="24"/>
          <w:szCs w:val="24"/>
        </w:rPr>
        <w:t xml:space="preserve">, </w:t>
      </w:r>
      <w:r w:rsidRPr="005B4123">
        <w:rPr>
          <w:rFonts w:ascii="Arial" w:hAnsi="Arial"/>
          <w:sz w:val="24"/>
          <w:szCs w:val="24"/>
        </w:rPr>
        <w:t>República Dominicana</w:t>
      </w:r>
      <w:r w:rsidRPr="006E1D52">
        <w:rPr>
          <w:rFonts w:ascii="Arial" w:hAnsi="Arial"/>
          <w:color w:val="000000"/>
          <w:sz w:val="24"/>
          <w:szCs w:val="24"/>
        </w:rPr>
        <w:t xml:space="preserve">, </w:t>
      </w:r>
      <w:r w:rsidRPr="005B4123">
        <w:rPr>
          <w:rFonts w:ascii="Arial" w:hAnsi="Arial"/>
          <w:sz w:val="24"/>
          <w:szCs w:val="24"/>
        </w:rPr>
        <w:t>Uruguay</w:t>
      </w:r>
      <w:r w:rsidRPr="006E1D52">
        <w:rPr>
          <w:rFonts w:ascii="Arial" w:hAnsi="Arial"/>
          <w:color w:val="000000"/>
          <w:sz w:val="24"/>
          <w:szCs w:val="24"/>
        </w:rPr>
        <w:t xml:space="preserve"> y </w:t>
      </w:r>
      <w:r w:rsidRPr="005B4123">
        <w:rPr>
          <w:rFonts w:ascii="Arial" w:hAnsi="Arial"/>
          <w:sz w:val="24"/>
          <w:szCs w:val="24"/>
        </w:rPr>
        <w:t>Venezuela (República Bolivariana de)</w:t>
      </w:r>
      <w:r w:rsidRPr="006E1D52">
        <w:rPr>
          <w:rFonts w:ascii="Arial" w:hAnsi="Arial"/>
          <w:color w:val="000000"/>
          <w:sz w:val="24"/>
          <w:szCs w:val="24"/>
        </w:rPr>
        <w:t xml:space="preserve">. </w:t>
      </w:r>
    </w:p>
    <w:p w:rsidR="00212B47" w:rsidRDefault="00212B47" w:rsidP="008115EA">
      <w:pPr>
        <w:spacing w:after="0"/>
        <w:jc w:val="both"/>
        <w:rPr>
          <w:rFonts w:ascii="Arial" w:hAnsi="Arial"/>
          <w:color w:val="000000"/>
          <w:sz w:val="24"/>
          <w:szCs w:val="24"/>
        </w:rPr>
      </w:pPr>
      <w:r>
        <w:rPr>
          <w:rFonts w:ascii="Arial" w:hAnsi="Arial"/>
          <w:color w:val="000000"/>
          <w:sz w:val="24"/>
          <w:szCs w:val="24"/>
        </w:rPr>
        <w:t xml:space="preserve">MiembrosPosteriores: </w:t>
      </w:r>
      <w:r w:rsidRPr="006E1D52">
        <w:rPr>
          <w:rFonts w:ascii="Arial" w:hAnsi="Arial"/>
          <w:color w:val="000000"/>
          <w:sz w:val="24"/>
          <w:szCs w:val="24"/>
        </w:rPr>
        <w:br/>
      </w:r>
      <w:r w:rsidRPr="006E1D52">
        <w:rPr>
          <w:rFonts w:ascii="Arial" w:hAnsi="Arial"/>
          <w:color w:val="000000"/>
          <w:sz w:val="24"/>
          <w:szCs w:val="24"/>
        </w:rPr>
        <w:br/>
      </w:r>
      <w:r w:rsidRPr="005B4123">
        <w:rPr>
          <w:rFonts w:ascii="Arial" w:hAnsi="Arial"/>
          <w:sz w:val="24"/>
          <w:szCs w:val="24"/>
        </w:rPr>
        <w:t>Barbados</w:t>
      </w:r>
      <w:r w:rsidRPr="006E1D52">
        <w:rPr>
          <w:rFonts w:ascii="Arial" w:hAnsi="Arial"/>
          <w:color w:val="000000"/>
          <w:sz w:val="24"/>
          <w:szCs w:val="24"/>
        </w:rPr>
        <w:t xml:space="preserve">, </w:t>
      </w:r>
      <w:r w:rsidRPr="005B4123">
        <w:rPr>
          <w:rFonts w:ascii="Arial" w:hAnsi="Arial"/>
          <w:sz w:val="24"/>
          <w:szCs w:val="24"/>
        </w:rPr>
        <w:t>Trinidad y Tobago</w:t>
      </w:r>
      <w:r w:rsidRPr="006E1D52">
        <w:rPr>
          <w:rFonts w:ascii="Arial" w:hAnsi="Arial"/>
          <w:color w:val="000000"/>
          <w:sz w:val="24"/>
          <w:szCs w:val="24"/>
        </w:rPr>
        <w:t xml:space="preserve"> (1967), </w:t>
      </w:r>
      <w:r w:rsidRPr="005B4123">
        <w:rPr>
          <w:rFonts w:ascii="Arial" w:hAnsi="Arial"/>
          <w:sz w:val="24"/>
          <w:szCs w:val="24"/>
        </w:rPr>
        <w:t>Jamaica</w:t>
      </w:r>
      <w:r w:rsidRPr="006E1D52">
        <w:rPr>
          <w:rFonts w:ascii="Arial" w:hAnsi="Arial"/>
          <w:color w:val="000000"/>
          <w:sz w:val="24"/>
          <w:szCs w:val="24"/>
        </w:rPr>
        <w:t xml:space="preserve"> (1969), </w:t>
      </w:r>
      <w:r w:rsidRPr="005B4123">
        <w:rPr>
          <w:rFonts w:ascii="Arial" w:hAnsi="Arial"/>
          <w:sz w:val="24"/>
          <w:szCs w:val="24"/>
        </w:rPr>
        <w:t>Granada</w:t>
      </w:r>
      <w:r w:rsidRPr="006E1D52">
        <w:rPr>
          <w:rFonts w:ascii="Arial" w:hAnsi="Arial"/>
          <w:color w:val="000000"/>
          <w:sz w:val="24"/>
          <w:szCs w:val="24"/>
        </w:rPr>
        <w:t xml:space="preserve"> (1975), </w:t>
      </w:r>
      <w:r w:rsidRPr="005B4123">
        <w:rPr>
          <w:rFonts w:ascii="Arial" w:hAnsi="Arial"/>
          <w:sz w:val="24"/>
          <w:szCs w:val="24"/>
        </w:rPr>
        <w:t>Surinam</w:t>
      </w:r>
      <w:r w:rsidRPr="006E1D52">
        <w:rPr>
          <w:rFonts w:ascii="Arial" w:hAnsi="Arial"/>
          <w:color w:val="000000"/>
          <w:sz w:val="24"/>
          <w:szCs w:val="24"/>
        </w:rPr>
        <w:t xml:space="preserve"> (1977), </w:t>
      </w:r>
      <w:r w:rsidRPr="005B4123">
        <w:rPr>
          <w:rFonts w:ascii="Arial" w:hAnsi="Arial"/>
          <w:sz w:val="24"/>
          <w:szCs w:val="24"/>
        </w:rPr>
        <w:t>Dominica (Commonwealth de)</w:t>
      </w:r>
      <w:r w:rsidRPr="006E1D52">
        <w:rPr>
          <w:rFonts w:ascii="Arial" w:hAnsi="Arial"/>
          <w:color w:val="000000"/>
          <w:sz w:val="24"/>
          <w:szCs w:val="24"/>
        </w:rPr>
        <w:t xml:space="preserve">, </w:t>
      </w:r>
      <w:r w:rsidRPr="005B4123">
        <w:rPr>
          <w:rFonts w:ascii="Arial" w:hAnsi="Arial"/>
          <w:sz w:val="24"/>
          <w:szCs w:val="24"/>
        </w:rPr>
        <w:t>Santa Lucía</w:t>
      </w:r>
      <w:r w:rsidRPr="006E1D52">
        <w:rPr>
          <w:rFonts w:ascii="Arial" w:hAnsi="Arial"/>
          <w:color w:val="000000"/>
          <w:sz w:val="24"/>
          <w:szCs w:val="24"/>
        </w:rPr>
        <w:t xml:space="preserve"> (1979), </w:t>
      </w:r>
      <w:r w:rsidRPr="005B4123">
        <w:rPr>
          <w:rFonts w:ascii="Arial" w:hAnsi="Arial"/>
          <w:sz w:val="24"/>
          <w:szCs w:val="24"/>
        </w:rPr>
        <w:t>Antigua y Barbuda</w:t>
      </w:r>
      <w:r w:rsidRPr="006E1D52">
        <w:rPr>
          <w:rFonts w:ascii="Arial" w:hAnsi="Arial"/>
          <w:color w:val="000000"/>
          <w:sz w:val="24"/>
          <w:szCs w:val="24"/>
        </w:rPr>
        <w:t xml:space="preserve">, </w:t>
      </w:r>
      <w:r w:rsidRPr="005B4123">
        <w:rPr>
          <w:rFonts w:ascii="Arial" w:hAnsi="Arial"/>
          <w:sz w:val="24"/>
          <w:szCs w:val="24"/>
        </w:rPr>
        <w:t>San Vicente y las Granadinas</w:t>
      </w:r>
      <w:r w:rsidRPr="006E1D52">
        <w:rPr>
          <w:rFonts w:ascii="Arial" w:hAnsi="Arial"/>
          <w:color w:val="000000"/>
          <w:sz w:val="24"/>
          <w:szCs w:val="24"/>
        </w:rPr>
        <w:t xml:space="preserve"> (1981), </w:t>
      </w:r>
      <w:r w:rsidRPr="005B4123">
        <w:rPr>
          <w:rFonts w:ascii="Arial" w:hAnsi="Arial"/>
          <w:sz w:val="24"/>
          <w:szCs w:val="24"/>
        </w:rPr>
        <w:t>Bahamas (Commonwealth de las)</w:t>
      </w:r>
      <w:r w:rsidRPr="006E1D52">
        <w:rPr>
          <w:rFonts w:ascii="Arial" w:hAnsi="Arial"/>
          <w:color w:val="000000"/>
          <w:sz w:val="24"/>
          <w:szCs w:val="24"/>
        </w:rPr>
        <w:t xml:space="preserve"> (1982), </w:t>
      </w:r>
      <w:r w:rsidRPr="005B4123">
        <w:rPr>
          <w:rFonts w:ascii="Arial" w:hAnsi="Arial"/>
          <w:sz w:val="24"/>
          <w:szCs w:val="24"/>
        </w:rPr>
        <w:t>St. Kitts y Nevis</w:t>
      </w:r>
      <w:r w:rsidRPr="006E1D52">
        <w:rPr>
          <w:rFonts w:ascii="Arial" w:hAnsi="Arial"/>
          <w:color w:val="000000"/>
          <w:sz w:val="24"/>
          <w:szCs w:val="24"/>
        </w:rPr>
        <w:t xml:space="preserve"> (1984), </w:t>
      </w:r>
      <w:r w:rsidRPr="005B4123">
        <w:rPr>
          <w:rFonts w:ascii="Arial" w:hAnsi="Arial"/>
          <w:sz w:val="24"/>
          <w:szCs w:val="24"/>
        </w:rPr>
        <w:t>Canadá</w:t>
      </w:r>
      <w:r w:rsidRPr="006E1D52">
        <w:rPr>
          <w:rFonts w:ascii="Arial" w:hAnsi="Arial"/>
          <w:color w:val="000000"/>
          <w:sz w:val="24"/>
          <w:szCs w:val="24"/>
        </w:rPr>
        <w:t xml:space="preserve"> (1990), </w:t>
      </w:r>
      <w:r w:rsidRPr="005B4123">
        <w:rPr>
          <w:rFonts w:ascii="Arial" w:hAnsi="Arial"/>
          <w:sz w:val="24"/>
          <w:szCs w:val="24"/>
        </w:rPr>
        <w:t>Belice</w:t>
      </w:r>
      <w:r w:rsidRPr="006E1D52">
        <w:rPr>
          <w:rFonts w:ascii="Arial" w:hAnsi="Arial"/>
          <w:color w:val="000000"/>
          <w:sz w:val="24"/>
          <w:szCs w:val="24"/>
        </w:rPr>
        <w:t xml:space="preserve">, </w:t>
      </w:r>
      <w:r w:rsidRPr="005B4123">
        <w:rPr>
          <w:rFonts w:ascii="Arial" w:hAnsi="Arial"/>
          <w:sz w:val="24"/>
          <w:szCs w:val="24"/>
        </w:rPr>
        <w:t>Guyana</w:t>
      </w:r>
      <w:r w:rsidRPr="006E1D52">
        <w:rPr>
          <w:rFonts w:ascii="Arial" w:hAnsi="Arial"/>
          <w:color w:val="000000"/>
          <w:sz w:val="24"/>
          <w:szCs w:val="24"/>
        </w:rPr>
        <w:t xml:space="preserve"> (1991).</w:t>
      </w:r>
    </w:p>
    <w:p w:rsidR="00212B47" w:rsidRPr="00686393" w:rsidRDefault="00212B47" w:rsidP="00D96515">
      <w:pPr>
        <w:rPr>
          <w:rFonts w:ascii="Arial" w:hAnsi="Arial"/>
          <w:color w:val="000000"/>
          <w:sz w:val="24"/>
          <w:szCs w:val="24"/>
        </w:rPr>
      </w:pPr>
      <w:r>
        <w:rPr>
          <w:noProof/>
          <w:lang w:val="es-ES" w:eastAsia="es-ES"/>
        </w:rPr>
        <w:pict>
          <v:shape id="Imagen 23" o:spid="_x0000_s1028" type="#_x0000_t75" alt="Bandera Ecuador" href="http://www.oas.org/es/estados_miembros/estado_miembro.asp?sCode=E" style="position:absolute;margin-left:418.2pt;margin-top:25.2pt;width:21.75pt;height:15pt;z-index:251653120;visibility:visible" o:button="t">
            <v:fill o:detectmouseclick="t"/>
            <v:imagedata r:id="rId8" o:title=""/>
            <w10:wrap type="square"/>
          </v:shape>
        </w:pict>
      </w:r>
      <w:r>
        <w:rPr>
          <w:noProof/>
          <w:lang w:val="es-ES" w:eastAsia="es-ES"/>
        </w:rPr>
        <w:pict>
          <v:shape id="Imagen 24" o:spid="_x0000_s1029" type="#_x0000_t75" alt="Bandera Dominica (Commonwealth de)" href="http://www.oas.org/es/estados_miembros/estado_miembro.asp?sCode=D" style="position:absolute;margin-left:391.2pt;margin-top:25.2pt;width:21.75pt;height:15pt;z-index:251652096;visibility:visible" o:button="t">
            <v:fill o:detectmouseclick="t"/>
            <v:imagedata r:id="rId9" o:title=""/>
            <w10:wrap type="square"/>
          </v:shape>
        </w:pict>
      </w:r>
      <w:r>
        <w:rPr>
          <w:noProof/>
          <w:lang w:val="es-ES" w:eastAsia="es-ES"/>
        </w:rPr>
        <w:pict>
          <v:shape id="Imagen 26" o:spid="_x0000_s1030" type="#_x0000_t75" alt="Bandera Costa Rica" href="http://www.oas.org/es/estados_miembros/estado_miembro.asp?sCode=C" style="position:absolute;margin-left:331.95pt;margin-top:25.95pt;width:21.75pt;height:15pt;z-index:251650048;visibility:visible" o:button="t">
            <v:fill o:detectmouseclick="t"/>
            <v:imagedata r:id="rId10" o:title=""/>
            <w10:wrap type="square"/>
          </v:shape>
        </w:pict>
      </w:r>
      <w:r>
        <w:rPr>
          <w:noProof/>
          <w:lang w:val="es-ES" w:eastAsia="es-ES"/>
        </w:rPr>
        <w:pict>
          <v:shape id="Imagen 31" o:spid="_x0000_s1031" type="#_x0000_t75" alt="Bandera Bolivia" href="http://www.oas.org/es/estados_miembros/estado_miembro.asp?sCode=B" style="position:absolute;margin-left:139.95pt;margin-top:25.95pt;width:21.75pt;height:15pt;z-index:251643904;visibility:visible" o:button="t">
            <v:fill o:detectmouseclick="t"/>
            <v:imagedata r:id="rId11" o:title=""/>
            <w10:wrap type="square"/>
          </v:shape>
        </w:pict>
      </w:r>
      <w:r>
        <w:rPr>
          <w:noProof/>
          <w:lang w:val="es-ES" w:eastAsia="es-ES"/>
        </w:rPr>
        <w:pict>
          <v:shape id="Imagen 33" o:spid="_x0000_s1032" type="#_x0000_t75" alt="Bandera Barbados" href="http://www.oas.org/es/estados_miembros/estado_miembro.asp?sCode=B" style="position:absolute;margin-left:172.95pt;margin-top:25.2pt;width:21.75pt;height:15pt;z-index:251641856;visibility:visible" o:button="t">
            <v:fill o:detectmouseclick="t"/>
            <v:imagedata r:id="rId12" o:title=""/>
            <w10:wrap type="square"/>
          </v:shape>
        </w:pict>
      </w:r>
      <w:r>
        <w:rPr>
          <w:noProof/>
          <w:lang w:val="es-ES" w:eastAsia="es-ES"/>
        </w:rPr>
        <w:pict>
          <v:shape id="Imagen 36" o:spid="_x0000_s1033" type="#_x0000_t75" alt="Bandera Antigua y Barbuda" href="http://www.oas.org/es/estados_miembros/estado_miembro.asp?sCode=A" style="position:absolute;margin-left:73.95pt;margin-top:25.95pt;width:21.75pt;height:15pt;z-index:251649024;visibility:visible" o:button="t">
            <v:fill o:detectmouseclick="t"/>
            <v:imagedata r:id="rId13" o:title=""/>
            <w10:wrap type="square"/>
          </v:shape>
        </w:pict>
      </w:r>
      <w:r>
        <w:rPr>
          <w:noProof/>
          <w:lang w:val="es-ES" w:eastAsia="es-ES"/>
        </w:rPr>
        <w:pict>
          <v:shape id="Imagen 27" o:spid="_x0000_s1034" type="#_x0000_t75" alt="Bandera Colombia" href="http://www.oas.org/es/estados_miembros/estado_miembro.asp?sCode=C" style="position:absolute;margin-left:301.95pt;margin-top:25.2pt;width:21.75pt;height:15pt;z-index:251648000;visibility:visible" o:button="t">
            <v:fill o:detectmouseclick="t"/>
            <v:imagedata r:id="rId14" o:title=""/>
            <w10:wrap type="square"/>
          </v:shape>
        </w:pict>
      </w:r>
      <w:r>
        <w:rPr>
          <w:noProof/>
          <w:lang w:val="es-ES" w:eastAsia="es-ES"/>
        </w:rPr>
        <w:pict>
          <v:shape id="Imagen 28" o:spid="_x0000_s1035" type="#_x0000_t75" alt="Bandera Chile" href="http://www.oas.org/es/estados_miembros/estado_miembro.asp?sCode=C" style="position:absolute;margin-left:271.2pt;margin-top:25.95pt;width:21.75pt;height:15pt;z-index:251646976;visibility:visible" o:button="t">
            <v:fill o:detectmouseclick="t"/>
            <v:imagedata r:id="rId15" o:title=""/>
            <w10:wrap type="square"/>
          </v:shape>
        </w:pict>
      </w:r>
      <w:r>
        <w:rPr>
          <w:noProof/>
          <w:lang w:val="es-ES" w:eastAsia="es-ES"/>
        </w:rPr>
        <w:pict>
          <v:shape id="Imagen 29" o:spid="_x0000_s1036" type="#_x0000_t75" alt="Bandera Canadá" href="http://www.oas.org/es/estados_miembros/estado_miembro.asp?sCode=C" style="position:absolute;margin-left:239.7pt;margin-top:25.95pt;width:21.75pt;height:14.25pt;z-index:251645952;visibility:visible" o:button="t">
            <v:fill o:detectmouseclick="t"/>
            <v:imagedata r:id="rId16" o:title=""/>
            <w10:wrap type="square"/>
          </v:shape>
        </w:pict>
      </w:r>
      <w:r>
        <w:rPr>
          <w:noProof/>
          <w:lang w:val="es-ES" w:eastAsia="es-ES"/>
        </w:rPr>
        <w:pict>
          <v:shape id="Imagen 30" o:spid="_x0000_s1037" type="#_x0000_t75" alt="Bandera Brasil" href="http://www.oas.org/es/estados_miembros/estado_miembro.asp?sCode=B" style="position:absolute;margin-left:208.95pt;margin-top:25.95pt;width:21.75pt;height:15pt;z-index:251644928;visibility:visible" o:button="t">
            <v:fill o:detectmouseclick="t"/>
            <v:imagedata r:id="rId17" o:title=""/>
            <w10:wrap type="square"/>
          </v:shape>
        </w:pict>
      </w:r>
      <w:r>
        <w:rPr>
          <w:noProof/>
          <w:lang w:val="es-ES" w:eastAsia="es-ES"/>
        </w:rPr>
        <w:pict>
          <v:shape id="Imagen 32" o:spid="_x0000_s1038" type="#_x0000_t75" alt="Bandera Belize" href="http://www.oas.org/es/estados_miembros/estado_miembro.asp?sCode=B" style="position:absolute;margin-left:1.95pt;margin-top:25.95pt;width:21.75pt;height:15pt;z-index:251642880;visibility:visible" o:button="t">
            <v:fill o:detectmouseclick="t"/>
            <v:imagedata r:id="rId18" o:title=""/>
            <w10:wrap type="square"/>
          </v:shape>
        </w:pict>
      </w:r>
      <w:r>
        <w:rPr>
          <w:noProof/>
          <w:lang w:val="es-ES" w:eastAsia="es-ES"/>
        </w:rPr>
        <w:pict>
          <v:shape id="Imagen 34" o:spid="_x0000_s1039" type="#_x0000_t75" alt="Bandera Bahamas (Commonwealth de las)" href="http://www.oas.org/es/estados_miembros/estado_miembro.asp?sCode=B" style="position:absolute;margin-left:108.45pt;margin-top:25.95pt;width:21.75pt;height:15pt;z-index:251640832;visibility:visible" o:button="t">
            <v:fill o:detectmouseclick="t"/>
            <v:imagedata r:id="rId19" o:title=""/>
            <w10:wrap type="square"/>
          </v:shape>
        </w:pict>
      </w:r>
    </w:p>
    <w:p w:rsidR="00212B47" w:rsidRPr="00686393" w:rsidRDefault="00212B47" w:rsidP="00754CBA">
      <w:pPr>
        <w:shd w:val="clear" w:color="auto" w:fill="FFFFFF"/>
        <w:spacing w:before="192" w:after="192"/>
        <w:ind w:left="120" w:right="144"/>
        <w:rPr>
          <w:rFonts w:ascii="Arial" w:hAnsi="Arial"/>
          <w:color w:val="000000"/>
          <w:sz w:val="20"/>
          <w:szCs w:val="20"/>
        </w:rPr>
      </w:pPr>
      <w:r>
        <w:rPr>
          <w:noProof/>
          <w:lang w:val="es-ES" w:eastAsia="es-ES"/>
        </w:rPr>
        <w:pict>
          <v:shape id="Imagen 5" o:spid="_x0000_s1040" type="#_x0000_t75" alt="Bandera Suriname" href="http://www.oas.org/es/estados_miembros/estado_miembro.asp?sCode=S" style="position:absolute;left:0;text-align:left;margin-left:209.25pt;margin-top:68.45pt;width:21.75pt;height:15pt;z-index:251671552;visibility:visible" o:button="t">
            <v:fill o:detectmouseclick="t"/>
            <v:imagedata r:id="rId20" o:title=""/>
            <w10:wrap type="square"/>
          </v:shape>
        </w:pict>
      </w:r>
      <w:r>
        <w:rPr>
          <w:noProof/>
          <w:lang w:val="es-ES" w:eastAsia="es-ES"/>
        </w:rPr>
        <w:pict>
          <v:shape id="Imagen 3" o:spid="_x0000_s1041" type="#_x0000_t75" alt="Bandera Uruguay" href="http://www.oas.org/es/estados_miembros/estado_miembro.asp?sCode=U" style="position:absolute;left:0;text-align:left;margin-left:172.95pt;margin-top:68.5pt;width:21.75pt;height:15pt;z-index:251672576;visibility:visible" o:button="t">
            <v:fill o:detectmouseclick="t"/>
            <v:imagedata r:id="rId21" o:title=""/>
            <w10:wrap type="square"/>
          </v:shape>
        </w:pict>
      </w:r>
      <w:r>
        <w:rPr>
          <w:noProof/>
          <w:lang w:val="es-ES" w:eastAsia="es-ES"/>
        </w:rPr>
        <w:pict>
          <v:shape id="Imagen 4" o:spid="_x0000_s1042" type="#_x0000_t75" alt="Bandera Trinidad y Tobago" href="http://www.oas.org/es/estados_miembros/estado_miembro.asp?sCode=T" style="position:absolute;left:0;text-align:left;margin-left:139.2pt;margin-top:68.25pt;width:21.75pt;height:15pt;z-index:251673600;visibility:visible" o:button="t">
            <v:fill o:detectmouseclick="t"/>
            <v:imagedata r:id="rId22" o:title=""/>
            <w10:wrap type="square"/>
          </v:shape>
        </w:pict>
      </w:r>
      <w:r>
        <w:rPr>
          <w:noProof/>
          <w:lang w:val="es-ES" w:eastAsia="es-ES"/>
        </w:rPr>
        <w:pict>
          <v:shape id="Imagen 6" o:spid="_x0000_s1043" type="#_x0000_t75" alt="Bandera Santa Lucía" href="http://www.oas.org/es/estados_miembros/estado_miembro.asp?sCode=S" style="position:absolute;left:0;text-align:left;margin-left:108.45pt;margin-top:68.15pt;width:21.75pt;height:15pt;z-index:251670528;visibility:visible" o:button="t">
            <v:fill o:detectmouseclick="t"/>
            <v:imagedata r:id="rId23" o:title=""/>
            <w10:wrap type="square"/>
          </v:shape>
        </w:pict>
      </w:r>
      <w:r>
        <w:rPr>
          <w:noProof/>
          <w:lang w:val="es-ES" w:eastAsia="es-ES"/>
        </w:rPr>
        <w:pict>
          <v:shape id="Imagen 2" o:spid="_x0000_s1044" type="#_x0000_t75" alt="Bandera Venezuela (República Bolivariana de)" href="http://www.oas.org/es/estados_miembros/estado_miembro.asp?sCode=V" style="position:absolute;left:0;text-align:left;margin-left:73.95pt;margin-top:68.25pt;width:21.75pt;height:15pt;z-index:251674624;visibility:visible" o:button="t">
            <v:fill o:detectmouseclick="t"/>
            <v:imagedata r:id="rId24" o:title=""/>
            <w10:wrap type="square"/>
          </v:shape>
        </w:pict>
      </w:r>
      <w:r>
        <w:rPr>
          <w:noProof/>
          <w:lang w:val="es-ES" w:eastAsia="es-ES"/>
        </w:rPr>
        <w:pict>
          <v:shape id="Imagen 9" o:spid="_x0000_s1045" type="#_x0000_t75" alt="Bandera República Dominicana" href="http://www.oas.org/es/estados_miembros/estado_miembro.asp?sCode=D" style="position:absolute;left:0;text-align:left;margin-left:37.2pt;margin-top:68.6pt;width:21.75pt;height:15pt;z-index:251667456;visibility:visible" o:button="t">
            <v:fill o:detectmouseclick="t"/>
            <v:imagedata r:id="rId25" o:title=""/>
            <w10:wrap type="square"/>
          </v:shape>
        </w:pict>
      </w:r>
      <w:r>
        <w:rPr>
          <w:noProof/>
          <w:lang w:val="es-ES" w:eastAsia="es-ES"/>
        </w:rPr>
        <w:pict>
          <v:shape id="Imagen 19" o:spid="_x0000_s1046" type="#_x0000_t75" alt="Bandera Guatemala" href="http://www.oas.org/es/estados_miembros/estado_miembro.asp?sCode=G" style="position:absolute;left:0;text-align:left;margin-left:1.95pt;margin-top:68.35pt;width:21.75pt;height:15pt;z-index:251657216;visibility:visible" o:button="t">
            <v:fill o:detectmouseclick="t"/>
            <v:imagedata r:id="rId26" o:title=""/>
            <w10:wrap type="square"/>
          </v:shape>
        </w:pict>
      </w:r>
      <w:r>
        <w:rPr>
          <w:noProof/>
          <w:lang w:val="es-ES" w:eastAsia="es-ES"/>
        </w:rPr>
        <w:pict>
          <v:shape id="Imagen 8" o:spid="_x0000_s1047" type="#_x0000_t75" alt="Bandera Saint Kitts y Nevis" href="http://www.oas.org/es/estados_miembros/estado_miembro.asp?sCode=S" style="position:absolute;left:0;text-align:left;margin-left:418.2pt;margin-top:29.05pt;width:21.75pt;height:15pt;z-index:251668480;visibility:visible" o:button="t">
            <v:fill o:detectmouseclick="t"/>
            <v:imagedata r:id="rId27" o:title=""/>
            <w10:wrap type="square"/>
          </v:shape>
        </w:pict>
      </w:r>
      <w:r>
        <w:rPr>
          <w:noProof/>
          <w:lang w:val="es-ES" w:eastAsia="es-ES"/>
        </w:rPr>
        <w:pict>
          <v:shape id="Imagen 7" o:spid="_x0000_s1048" type="#_x0000_t75" alt="Bandera San Vicente y las Granadinas" href="http://www.oas.org/es/estados_miembros/estado_miembro.asp?sCode=S" style="position:absolute;left:0;text-align:left;margin-left:391.2pt;margin-top:29.25pt;width:21.75pt;height:15pt;z-index:251669504;visibility:visible" o:button="t">
            <v:fill o:detectmouseclick="t"/>
            <v:imagedata r:id="rId28" o:title=""/>
            <w10:wrap type="square"/>
          </v:shape>
        </w:pict>
      </w:r>
      <w:r>
        <w:rPr>
          <w:noProof/>
          <w:lang w:val="es-ES" w:eastAsia="es-ES"/>
        </w:rPr>
        <w:pict>
          <v:shape id="Imagen 12" o:spid="_x0000_s1049" type="#_x0000_t75" alt="Bandera Panamá" href="http://www.oas.org/es/estados_miembros/estado_miembro.asp?sCode=P" style="position:absolute;left:0;text-align:left;margin-left:362.7pt;margin-top:29.3pt;width:21.75pt;height:15pt;z-index:251664384;visibility:visible" o:button="t">
            <v:fill o:detectmouseclick="t"/>
            <v:imagedata r:id="rId29" o:title=""/>
            <w10:wrap type="square"/>
          </v:shape>
        </w:pict>
      </w:r>
      <w:r>
        <w:rPr>
          <w:noProof/>
          <w:lang w:val="es-ES" w:eastAsia="es-ES"/>
        </w:rPr>
        <w:pict>
          <v:shape id="Imagen 11" o:spid="_x0000_s1050" type="#_x0000_t75" alt="Bandera Paraguay" href="http://www.oas.org/es/estados_miembros/estado_miembro.asp?sCode=P" style="position:absolute;left:0;text-align:left;margin-left:331.95pt;margin-top:29.35pt;width:21.75pt;height:15pt;z-index:251665408;visibility:visible" o:button="t">
            <v:fill o:detectmouseclick="t"/>
            <v:imagedata r:id="rId30" o:title=""/>
            <w10:wrap type="square"/>
          </v:shape>
        </w:pict>
      </w:r>
      <w:r>
        <w:rPr>
          <w:noProof/>
          <w:lang w:val="es-ES" w:eastAsia="es-ES"/>
        </w:rPr>
        <w:pict>
          <v:shape id="Imagen 10" o:spid="_x0000_s1051" type="#_x0000_t75" alt="Bandera Perú" href="http://www.oas.org/es/estados_miembros/estado_miembro.asp?sCode=P" style="position:absolute;left:0;text-align:left;margin-left:301.95pt;margin-top:29.4pt;width:21.75pt;height:15pt;z-index:251666432;visibility:visible" o:button="t">
            <v:fill o:detectmouseclick="t"/>
            <v:imagedata r:id="rId31" o:title=""/>
            <w10:wrap type="square"/>
          </v:shape>
        </w:pict>
      </w:r>
      <w:r>
        <w:rPr>
          <w:noProof/>
          <w:lang w:val="es-ES" w:eastAsia="es-ES"/>
        </w:rPr>
        <w:pict>
          <v:shape id="Imagen 15" o:spid="_x0000_s1052" type="#_x0000_t75" alt="Bandera Jamaica" href="http://www.oas.org/es/estados_miembros/estado_miembro.asp?sCode=J" style="position:absolute;left:0;text-align:left;margin-left:271.2pt;margin-top:29.7pt;width:21.75pt;height:15pt;z-index:251661312;visibility:visible" o:button="t">
            <v:fill o:detectmouseclick="t"/>
            <v:imagedata r:id="rId32" o:title=""/>
            <w10:wrap type="square"/>
          </v:shape>
        </w:pict>
      </w:r>
      <w:r>
        <w:rPr>
          <w:noProof/>
          <w:lang w:val="es-ES" w:eastAsia="es-ES"/>
        </w:rPr>
        <w:pict>
          <v:shape id="Imagen 17" o:spid="_x0000_s1053" type="#_x0000_t75" alt="Bandera Haití" href="http://www.oas.org/es/estados_miembros/estado_miembro.asp?sCode=H" style="position:absolute;left:0;text-align:left;margin-left:239.7pt;margin-top:31.6pt;width:21.75pt;height:15pt;z-index:251659264;visibility:visible" o:button="t">
            <v:fill o:detectmouseclick="t"/>
            <v:imagedata r:id="rId33" o:title=""/>
            <w10:wrap type="square"/>
          </v:shape>
        </w:pict>
      </w:r>
      <w:r>
        <w:rPr>
          <w:noProof/>
          <w:lang w:val="es-ES" w:eastAsia="es-ES"/>
        </w:rPr>
        <w:pict>
          <v:shape id="Imagen 14" o:spid="_x0000_s1054" type="#_x0000_t75" alt="Bandera México" href="http://www.oas.org/es/estados_miembros/estado_miembro.asp?sCode=M" style="position:absolute;left:0;text-align:left;margin-left:208.95pt;margin-top:31.9pt;width:21.75pt;height:15pt;z-index:251662336;visibility:visible" o:button="t">
            <v:fill o:detectmouseclick="t"/>
            <v:imagedata r:id="rId34" o:title=""/>
            <w10:wrap type="square"/>
          </v:shape>
        </w:pict>
      </w:r>
      <w:r>
        <w:rPr>
          <w:noProof/>
          <w:lang w:val="es-ES" w:eastAsia="es-ES"/>
        </w:rPr>
        <w:pict>
          <v:shape id="Imagen 16" o:spid="_x0000_s1055" type="#_x0000_t75" alt="Bandera Honduras" href="http://www.oas.org/es/estados_miembros/estado_miembro.asp?sCode=H" style="position:absolute;left:0;text-align:left;margin-left:172.95pt;margin-top:31.6pt;width:21.75pt;height:15pt;z-index:251660288;visibility:visible" o:button="t">
            <v:fill o:detectmouseclick="t"/>
            <v:imagedata r:id="rId35" o:title=""/>
            <w10:wrap type="square"/>
          </v:shape>
        </w:pict>
      </w:r>
      <w:r>
        <w:rPr>
          <w:noProof/>
          <w:lang w:val="es-ES" w:eastAsia="es-ES"/>
        </w:rPr>
        <w:pict>
          <v:shape id="Imagen 13" o:spid="_x0000_s1056" type="#_x0000_t75" alt="Bandera Nicaragua" href="http://www.oas.org/es/estados_miembros/estado_miembro.asp?sCode=N" style="position:absolute;left:0;text-align:left;margin-left:139.2pt;margin-top:31.95pt;width:21.75pt;height:15pt;z-index:251663360;visibility:visible" o:button="t">
            <v:fill o:detectmouseclick="t"/>
            <v:imagedata r:id="rId36" o:title=""/>
            <w10:wrap type="square"/>
          </v:shape>
        </w:pict>
      </w:r>
      <w:r>
        <w:rPr>
          <w:noProof/>
          <w:lang w:val="es-ES" w:eastAsia="es-ES"/>
        </w:rPr>
        <w:pict>
          <v:shape id="Imagen 18" o:spid="_x0000_s1057" type="#_x0000_t75" alt="Bandera Guyana" href="http://www.oas.org/es/estados_miembros/estado_miembro.asp?sCode=G" style="position:absolute;left:0;text-align:left;margin-left:108.45pt;margin-top:31.6pt;width:21.75pt;height:15pt;z-index:251658240;visibility:visible" o:button="t">
            <v:fill o:detectmouseclick="t"/>
            <v:imagedata r:id="rId37" o:title=""/>
            <w10:wrap type="square"/>
          </v:shape>
        </w:pict>
      </w:r>
      <w:r>
        <w:rPr>
          <w:noProof/>
          <w:lang w:val="es-ES" w:eastAsia="es-ES"/>
        </w:rPr>
        <w:pict>
          <v:shape id="Imagen 22" o:spid="_x0000_s1058" type="#_x0000_t75" alt="Bandera El Salvador" href="http://www.oas.org/es/estados_miembros/estado_miembro.asp?sCode=E" style="position:absolute;left:0;text-align:left;margin-left:73.95pt;margin-top:31.6pt;width:21.75pt;height:15pt;z-index:251654144;visibility:visible" o:button="t">
            <v:fill o:detectmouseclick="t"/>
            <v:imagedata r:id="rId38" o:title=""/>
            <w10:wrap type="square"/>
          </v:shape>
        </w:pict>
      </w:r>
      <w:r>
        <w:rPr>
          <w:noProof/>
          <w:lang w:val="es-ES" w:eastAsia="es-ES"/>
        </w:rPr>
        <w:pict>
          <v:shape id="Imagen 20" o:spid="_x0000_s1059" type="#_x0000_t75" alt="Bandera Grenada" href="http://www.oas.org/es/estados_miembros/estado_miembro.asp?sCode=G" style="position:absolute;left:0;text-align:left;margin-left:37.2pt;margin-top:31.6pt;width:21.75pt;height:15pt;z-index:251656192;visibility:visible" o:button="t">
            <v:fill o:detectmouseclick="t"/>
            <v:imagedata r:id="rId39" o:title=""/>
            <w10:wrap type="square"/>
          </v:shape>
        </w:pict>
      </w:r>
      <w:r>
        <w:rPr>
          <w:noProof/>
          <w:lang w:val="es-ES" w:eastAsia="es-ES"/>
        </w:rPr>
        <w:pict>
          <v:shape id="Imagen 21" o:spid="_x0000_s1060" type="#_x0000_t75" alt="Bandera Estados Unidos de América" href="http://www.oas.org/es/estados_miembros/estado_miembro.asp?sCode=U" style="position:absolute;left:0;text-align:left;margin-left:1.95pt;margin-top:33.45pt;width:21.75pt;height:15pt;z-index:251655168;visibility:visible" o:button="t">
            <v:fill o:detectmouseclick="t"/>
            <v:imagedata r:id="rId40" o:title=""/>
            <w10:wrap type="square"/>
          </v:shape>
        </w:pict>
      </w:r>
      <w:r>
        <w:rPr>
          <w:noProof/>
          <w:lang w:val="es-ES" w:eastAsia="es-ES"/>
        </w:rPr>
        <w:pict>
          <v:shape id="Imagen 35" o:spid="_x0000_s1061" type="#_x0000_t75" alt="Bandera Argentina" href="http://www.oas.org/es/estados_miembros/estado_miembro.asp?sCode=A" style="position:absolute;left:0;text-align:left;margin-left:37.2pt;margin-top:.1pt;width:21.75pt;height:15pt;z-index:251639808;visibility:visible" o:button="t">
            <v:fill o:detectmouseclick="t"/>
            <v:imagedata r:id="rId41" o:title=""/>
            <w10:wrap type="square"/>
          </v:shape>
        </w:pict>
      </w:r>
      <w:r w:rsidRPr="005B4123">
        <w:rPr>
          <w:rFonts w:ascii="Arial" w:hAnsi="Arial"/>
          <w:sz w:val="20"/>
          <w:szCs w:val="20"/>
        </w:rPr>
        <w:t xml:space="preserve"> </w:t>
      </w:r>
    </w:p>
    <w:p w:rsidR="00212B47" w:rsidRDefault="00212B47" w:rsidP="00754CBA">
      <w:pPr>
        <w:shd w:val="clear" w:color="auto" w:fill="FFFFFF"/>
        <w:spacing w:before="192" w:after="192"/>
        <w:ind w:left="120" w:right="144"/>
        <w:rPr>
          <w:rFonts w:ascii="Arial" w:hAnsi="Arial"/>
          <w:color w:val="000000"/>
          <w:sz w:val="24"/>
          <w:szCs w:val="24"/>
        </w:rPr>
      </w:pPr>
    </w:p>
    <w:p w:rsidR="00212B47" w:rsidRDefault="00212B47" w:rsidP="00754CBA">
      <w:pPr>
        <w:shd w:val="clear" w:color="auto" w:fill="FFFFFF"/>
        <w:spacing w:before="192" w:after="192"/>
        <w:ind w:left="120" w:right="144"/>
        <w:rPr>
          <w:rFonts w:ascii="Arial" w:hAnsi="Arial"/>
          <w:color w:val="000000"/>
          <w:sz w:val="24"/>
          <w:szCs w:val="24"/>
        </w:rPr>
      </w:pPr>
    </w:p>
    <w:p w:rsidR="00212B47" w:rsidRPr="00E35D00" w:rsidRDefault="00212B47" w:rsidP="00754CBA">
      <w:pPr>
        <w:shd w:val="clear" w:color="auto" w:fill="FFFFFF"/>
        <w:spacing w:before="192" w:after="192"/>
        <w:ind w:left="120" w:right="144"/>
        <w:rPr>
          <w:rFonts w:ascii="Arial" w:hAnsi="Arial"/>
          <w:color w:val="000000"/>
          <w:sz w:val="24"/>
          <w:szCs w:val="24"/>
        </w:rPr>
      </w:pPr>
      <w:r>
        <w:rPr>
          <w:rFonts w:ascii="Arial" w:hAnsi="Arial"/>
          <w:color w:val="000000"/>
          <w:sz w:val="24"/>
          <w:szCs w:val="24"/>
        </w:rPr>
        <w:t xml:space="preserve">La Republica de Colombia tiene como embajador ante la organización al señor Luis Alfonso Hoyos, plenipotenciario de derecho y con misión permanente ante </w:t>
      </w:r>
      <w:smartTag w:uri="urn:schemas-microsoft-com:office:smarttags" w:element="PersonName">
        <w:smartTagPr>
          <w:attr w:name="ProductID" w:val="la OEA. La"/>
        </w:smartTagPr>
        <w:r>
          <w:rPr>
            <w:rFonts w:ascii="Arial" w:hAnsi="Arial"/>
            <w:color w:val="000000"/>
            <w:sz w:val="24"/>
            <w:szCs w:val="24"/>
          </w:rPr>
          <w:t>la OEA. La</w:t>
        </w:r>
      </w:smartTag>
      <w:r>
        <w:rPr>
          <w:rFonts w:ascii="Arial" w:hAnsi="Arial"/>
          <w:color w:val="000000"/>
          <w:sz w:val="24"/>
          <w:szCs w:val="24"/>
        </w:rPr>
        <w:t xml:space="preserve"> fecha de ingreso al sistema interamericano fue en 1889.</w:t>
      </w:r>
    </w:p>
    <w:p w:rsidR="00212B47" w:rsidRDefault="00212B47" w:rsidP="008115EA">
      <w:pPr>
        <w:shd w:val="clear" w:color="auto" w:fill="FFFFFF"/>
        <w:spacing w:before="192" w:after="192"/>
        <w:ind w:left="120" w:right="144"/>
        <w:rPr>
          <w:rFonts w:ascii="Arial" w:hAnsi="Arial"/>
          <w:color w:val="000000"/>
          <w:sz w:val="20"/>
          <w:szCs w:val="20"/>
        </w:rPr>
      </w:pPr>
    </w:p>
    <w:p w:rsidR="00212B47" w:rsidRDefault="00212B47" w:rsidP="008115EA">
      <w:pPr>
        <w:shd w:val="clear" w:color="auto" w:fill="FFFFFF"/>
        <w:spacing w:before="192" w:after="192"/>
        <w:ind w:left="120" w:right="144"/>
        <w:rPr>
          <w:rFonts w:ascii="Arial" w:hAnsi="Arial"/>
          <w:color w:val="000000"/>
          <w:sz w:val="20"/>
          <w:szCs w:val="20"/>
        </w:rPr>
      </w:pPr>
    </w:p>
    <w:p w:rsidR="00212B47" w:rsidRDefault="00212B47" w:rsidP="008115EA">
      <w:pPr>
        <w:shd w:val="clear" w:color="auto" w:fill="FFFFFF"/>
        <w:spacing w:before="192" w:after="192"/>
        <w:ind w:left="120" w:right="144"/>
        <w:rPr>
          <w:rFonts w:ascii="Arial" w:hAnsi="Arial"/>
          <w:color w:val="000000"/>
          <w:sz w:val="20"/>
          <w:szCs w:val="20"/>
        </w:rPr>
      </w:pPr>
    </w:p>
    <w:p w:rsidR="00212B47" w:rsidRDefault="00212B47" w:rsidP="008115EA">
      <w:pPr>
        <w:shd w:val="clear" w:color="auto" w:fill="FFFFFF"/>
        <w:spacing w:before="192" w:after="192"/>
        <w:ind w:left="120" w:right="144"/>
        <w:rPr>
          <w:rFonts w:ascii="Arial" w:hAnsi="Arial"/>
          <w:color w:val="000000"/>
          <w:sz w:val="20"/>
          <w:szCs w:val="20"/>
        </w:rPr>
      </w:pPr>
      <w:r>
        <w:rPr>
          <w:noProof/>
          <w:lang w:val="es-ES" w:eastAsia="es-ES"/>
        </w:rPr>
        <w:pict>
          <v:shape id="Imagen 25" o:spid="_x0000_s1062" type="#_x0000_t75" alt="Bandera Cuba" href="http://www.oas.org/es/estados_miembros/default.a#Cu" style="position:absolute;left:0;text-align:left;margin-left:1.95pt;margin-top:8.35pt;width:21.75pt;height:15pt;z-index:251651072;visibility:visible" o:button="t">
            <v:fill o:detectmouseclick="t"/>
            <v:imagedata r:id="rId42" o:title=""/>
            <w10:wrap type="square"/>
          </v:shape>
        </w:pict>
      </w:r>
      <w:r>
        <w:rPr>
          <w:rFonts w:ascii="Arial" w:hAnsi="Arial"/>
          <w:color w:val="000000"/>
          <w:sz w:val="20"/>
          <w:szCs w:val="20"/>
        </w:rPr>
        <w:t>Expulsado 1962</w:t>
      </w:r>
    </w:p>
    <w:p w:rsidR="00212B47" w:rsidRDefault="00212B47" w:rsidP="008115EA">
      <w:pPr>
        <w:shd w:val="clear" w:color="auto" w:fill="FFFFFF"/>
        <w:spacing w:before="192" w:after="192"/>
        <w:ind w:left="120" w:right="144"/>
        <w:rPr>
          <w:rFonts w:ascii="Arial" w:hAnsi="Arial"/>
          <w:color w:val="000000"/>
          <w:sz w:val="20"/>
          <w:szCs w:val="20"/>
        </w:rPr>
      </w:pPr>
    </w:p>
    <w:p w:rsidR="00212B47" w:rsidRDefault="00212B47" w:rsidP="006666AB">
      <w:pPr>
        <w:shd w:val="clear" w:color="auto" w:fill="FFFFFF"/>
        <w:spacing w:before="192" w:after="192"/>
        <w:ind w:right="144"/>
        <w:rPr>
          <w:rStyle w:val="Heading1Char"/>
          <w:rFonts w:ascii="Arial" w:hAnsi="Arial" w:cs="Arial"/>
          <w:color w:val="000000"/>
          <w:sz w:val="24"/>
          <w:szCs w:val="24"/>
        </w:rPr>
      </w:pPr>
    </w:p>
    <w:p w:rsidR="00212B47" w:rsidRPr="006666AB" w:rsidRDefault="00212B47" w:rsidP="00684797">
      <w:pPr>
        <w:shd w:val="clear" w:color="auto" w:fill="FFFFFF"/>
        <w:spacing w:before="192" w:after="192"/>
        <w:ind w:right="144"/>
        <w:rPr>
          <w:rFonts w:ascii="Arial" w:hAnsi="Arial"/>
          <w:color w:val="000000"/>
          <w:sz w:val="24"/>
          <w:szCs w:val="24"/>
        </w:rPr>
      </w:pPr>
      <w:bookmarkStart w:id="3" w:name="_Toc304368407"/>
      <w:r w:rsidRPr="006666AB">
        <w:rPr>
          <w:rStyle w:val="Heading1Char"/>
          <w:rFonts w:ascii="Arial" w:hAnsi="Arial" w:cs="Arial"/>
          <w:color w:val="000000"/>
          <w:sz w:val="24"/>
          <w:szCs w:val="24"/>
        </w:rPr>
        <w:t>ESTRUCTURA</w:t>
      </w:r>
      <w:bookmarkEnd w:id="3"/>
      <w:r w:rsidRPr="006666AB">
        <w:rPr>
          <w:rFonts w:ascii="Arial" w:hAnsi="Arial"/>
          <w:b/>
          <w:bCs/>
          <w:color w:val="000000"/>
          <w:sz w:val="24"/>
          <w:szCs w:val="24"/>
        </w:rPr>
        <w:t xml:space="preserve"> </w:t>
      </w:r>
    </w:p>
    <w:p w:rsidR="00212B47" w:rsidRPr="008F4D9C" w:rsidRDefault="00212B47" w:rsidP="00357B5E">
      <w:pPr>
        <w:shd w:val="clear" w:color="auto" w:fill="FFFFFF"/>
        <w:spacing w:before="192" w:after="192"/>
        <w:ind w:right="144"/>
        <w:jc w:val="both"/>
        <w:rPr>
          <w:rFonts w:ascii="Arial" w:hAnsi="Arial"/>
          <w:color w:val="000000"/>
          <w:sz w:val="24"/>
          <w:szCs w:val="24"/>
        </w:rPr>
      </w:pPr>
      <w:r w:rsidRPr="008F4D9C">
        <w:rPr>
          <w:rFonts w:ascii="Arial" w:hAnsi="Arial"/>
          <w:color w:val="000000"/>
          <w:sz w:val="24"/>
          <w:szCs w:val="24"/>
        </w:rPr>
        <w:t xml:space="preserve">La OEA realiza sus fines por medio de los siguientes órganos: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smartTag w:uri="urn:schemas-microsoft-com:office:smarttags" w:element="PersonName">
        <w:smartTagPr>
          <w:attr w:name="ProductID" w:val="La Asamblea General"/>
        </w:smartTagPr>
        <w:r>
          <w:rPr>
            <w:rFonts w:ascii="Arial" w:hAnsi="Arial"/>
            <w:color w:val="000000"/>
            <w:sz w:val="24"/>
            <w:szCs w:val="24"/>
          </w:rPr>
          <w:t>L</w:t>
        </w:r>
        <w:r w:rsidRPr="008F4D9C">
          <w:rPr>
            <w:rFonts w:ascii="Arial" w:hAnsi="Arial"/>
            <w:color w:val="000000"/>
            <w:sz w:val="24"/>
            <w:szCs w:val="24"/>
          </w:rPr>
          <w:t xml:space="preserve">a </w:t>
        </w:r>
        <w:r w:rsidRPr="005B4123">
          <w:rPr>
            <w:rFonts w:ascii="Arial" w:hAnsi="Arial"/>
            <w:sz w:val="24"/>
            <w:szCs w:val="24"/>
          </w:rPr>
          <w:t>Asamblea General</w:t>
        </w:r>
      </w:smartTag>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r>
        <w:rPr>
          <w:rFonts w:ascii="Arial" w:hAnsi="Arial"/>
          <w:color w:val="000000"/>
          <w:sz w:val="24"/>
          <w:szCs w:val="24"/>
        </w:rPr>
        <w:t>L</w:t>
      </w:r>
      <w:r w:rsidRPr="008F4D9C">
        <w:rPr>
          <w:rFonts w:ascii="Arial" w:hAnsi="Arial"/>
          <w:color w:val="000000"/>
          <w:sz w:val="24"/>
          <w:szCs w:val="24"/>
        </w:rPr>
        <w:t xml:space="preserve">a </w:t>
      </w:r>
      <w:r w:rsidRPr="005B4123">
        <w:rPr>
          <w:rFonts w:ascii="Arial" w:hAnsi="Arial"/>
          <w:sz w:val="24"/>
          <w:szCs w:val="24"/>
        </w:rPr>
        <w:t>Reunión de Consulta de Ministros de Relaciones Exteriores</w:t>
      </w:r>
      <w:r w:rsidRPr="008F4D9C">
        <w:rPr>
          <w:rFonts w:ascii="Arial" w:hAnsi="Arial"/>
          <w:color w:val="000000"/>
          <w:sz w:val="24"/>
          <w:szCs w:val="24"/>
        </w:rPr>
        <w:t>;</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r>
        <w:rPr>
          <w:rFonts w:ascii="Arial" w:hAnsi="Arial"/>
          <w:color w:val="000000"/>
          <w:sz w:val="24"/>
          <w:szCs w:val="24"/>
        </w:rPr>
        <w:t>L</w:t>
      </w:r>
      <w:r w:rsidRPr="008F4D9C">
        <w:rPr>
          <w:rFonts w:ascii="Arial" w:hAnsi="Arial"/>
          <w:color w:val="000000"/>
          <w:sz w:val="24"/>
          <w:szCs w:val="24"/>
        </w:rPr>
        <w:t xml:space="preserve">os </w:t>
      </w:r>
      <w:r w:rsidRPr="005B4123">
        <w:rPr>
          <w:rFonts w:ascii="Arial" w:hAnsi="Arial"/>
          <w:sz w:val="24"/>
          <w:szCs w:val="24"/>
        </w:rPr>
        <w:t>Consejos</w:t>
      </w:r>
      <w:r w:rsidRPr="008F4D9C">
        <w:rPr>
          <w:rFonts w:ascii="Arial" w:hAnsi="Arial"/>
          <w:color w:val="000000"/>
          <w:sz w:val="24"/>
          <w:szCs w:val="24"/>
        </w:rPr>
        <w:t xml:space="preserve"> (el </w:t>
      </w:r>
      <w:r w:rsidRPr="005B4123">
        <w:rPr>
          <w:rFonts w:ascii="Arial" w:hAnsi="Arial"/>
          <w:sz w:val="24"/>
          <w:szCs w:val="24"/>
        </w:rPr>
        <w:t>Consejo Permanente</w:t>
      </w:r>
      <w:r w:rsidRPr="008F4D9C">
        <w:rPr>
          <w:rFonts w:ascii="Arial" w:hAnsi="Arial"/>
          <w:color w:val="000000"/>
          <w:sz w:val="24"/>
          <w:szCs w:val="24"/>
        </w:rPr>
        <w:t xml:space="preserve">, el </w:t>
      </w:r>
      <w:r w:rsidRPr="005B4123">
        <w:rPr>
          <w:rFonts w:ascii="Arial" w:hAnsi="Arial"/>
          <w:sz w:val="24"/>
          <w:szCs w:val="24"/>
        </w:rPr>
        <w:t>Consejo Interamericano para el Desarrollo Integral</w:t>
      </w:r>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r>
        <w:rPr>
          <w:rFonts w:ascii="Arial" w:hAnsi="Arial"/>
          <w:color w:val="000000"/>
          <w:sz w:val="24"/>
          <w:szCs w:val="24"/>
        </w:rPr>
        <w:t>E</w:t>
      </w:r>
      <w:r w:rsidRPr="008F4D9C">
        <w:rPr>
          <w:rFonts w:ascii="Arial" w:hAnsi="Arial"/>
          <w:color w:val="000000"/>
          <w:sz w:val="24"/>
          <w:szCs w:val="24"/>
        </w:rPr>
        <w:t xml:space="preserve">l </w:t>
      </w:r>
      <w:r w:rsidRPr="005B4123">
        <w:rPr>
          <w:rFonts w:ascii="Arial" w:hAnsi="Arial"/>
          <w:sz w:val="24"/>
          <w:szCs w:val="24"/>
        </w:rPr>
        <w:t>Comité Jurídico Interamericano</w:t>
      </w:r>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smartTag w:uri="urn:schemas-microsoft-com:office:smarttags" w:element="PersonName">
        <w:smartTagPr>
          <w:attr w:name="ProductID" w:val="La ￼￼￼￼￼￼￼￼￼￼￼￼￼￼￼￼￼￼￼￼￼￼￼￼￼￼￼￼￼￼￼￼￼￼￼￼￼￼￼￼￼￼￼￼￼￼￼￼￼￼￼￼￼￼￼￼￼￼￼￼￼￼￼￼￼￼￼￼￼￼￼￼￼Comisión Interamericana"/>
        </w:smartTagPr>
        <w:r>
          <w:rPr>
            <w:rFonts w:ascii="Arial" w:hAnsi="Arial"/>
            <w:color w:val="000000"/>
            <w:sz w:val="24"/>
            <w:szCs w:val="24"/>
          </w:rPr>
          <w:t>L</w:t>
        </w:r>
        <w:r w:rsidRPr="008F4D9C">
          <w:rPr>
            <w:rFonts w:ascii="Arial" w:hAnsi="Arial"/>
            <w:color w:val="000000"/>
            <w:sz w:val="24"/>
            <w:szCs w:val="24"/>
          </w:rPr>
          <w:t xml:space="preserve">a </w:t>
        </w:r>
        <w:r w:rsidRPr="005B4123">
          <w:rPr>
            <w:rFonts w:ascii="Arial" w:hAnsi="Arial"/>
            <w:sz w:val="24"/>
            <w:szCs w:val="24"/>
          </w:rPr>
          <w:t>Comisión Interamericana</w:t>
        </w:r>
      </w:smartTag>
      <w:r w:rsidRPr="005B4123">
        <w:rPr>
          <w:rFonts w:ascii="Arial" w:hAnsi="Arial"/>
          <w:sz w:val="24"/>
          <w:szCs w:val="24"/>
        </w:rPr>
        <w:t xml:space="preserve"> de Derechos Humanos</w:t>
      </w:r>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smartTag w:uri="urn:schemas-microsoft-com:office:smarttags" w:element="PersonName">
        <w:smartTagPr>
          <w:attr w:name="ProductID" w:val="la Secretaría General"/>
        </w:smartTagPr>
        <w:r>
          <w:rPr>
            <w:rFonts w:ascii="Arial" w:hAnsi="Arial"/>
            <w:color w:val="000000"/>
            <w:sz w:val="24"/>
            <w:szCs w:val="24"/>
          </w:rPr>
          <w:t>L</w:t>
        </w:r>
        <w:r w:rsidRPr="008F4D9C">
          <w:rPr>
            <w:rFonts w:ascii="Arial" w:hAnsi="Arial"/>
            <w:color w:val="000000"/>
            <w:sz w:val="24"/>
            <w:szCs w:val="24"/>
          </w:rPr>
          <w:t xml:space="preserve">a </w:t>
        </w:r>
        <w:r w:rsidRPr="005B4123">
          <w:rPr>
            <w:rFonts w:ascii="Arial" w:hAnsi="Arial"/>
            <w:sz w:val="24"/>
            <w:szCs w:val="24"/>
          </w:rPr>
          <w:t>Secretaría General</w:t>
        </w:r>
      </w:smartTag>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r>
        <w:rPr>
          <w:rFonts w:ascii="Arial" w:hAnsi="Arial"/>
          <w:color w:val="000000"/>
          <w:sz w:val="24"/>
          <w:szCs w:val="24"/>
        </w:rPr>
        <w:t>L</w:t>
      </w:r>
      <w:r w:rsidRPr="008F4D9C">
        <w:rPr>
          <w:rFonts w:ascii="Arial" w:hAnsi="Arial"/>
          <w:color w:val="000000"/>
          <w:sz w:val="24"/>
          <w:szCs w:val="24"/>
        </w:rPr>
        <w:t xml:space="preserve">as </w:t>
      </w:r>
      <w:r w:rsidRPr="005B4123">
        <w:rPr>
          <w:rFonts w:ascii="Arial" w:hAnsi="Arial"/>
          <w:sz w:val="24"/>
          <w:szCs w:val="24"/>
        </w:rPr>
        <w:t>Conferencias Especializadas</w:t>
      </w:r>
      <w:r w:rsidRPr="008F4D9C">
        <w:rPr>
          <w:rFonts w:ascii="Arial" w:hAnsi="Arial"/>
          <w:color w:val="000000"/>
          <w:sz w:val="24"/>
          <w:szCs w:val="24"/>
        </w:rPr>
        <w:t xml:space="preserve">; </w:t>
      </w:r>
    </w:p>
    <w:p w:rsidR="00212B47" w:rsidRPr="008F4D9C" w:rsidRDefault="00212B47" w:rsidP="00357B5E">
      <w:pPr>
        <w:numPr>
          <w:ilvl w:val="0"/>
          <w:numId w:val="1"/>
        </w:numPr>
        <w:shd w:val="clear" w:color="auto" w:fill="FFFFFF"/>
        <w:spacing w:before="240" w:after="240" w:line="240" w:lineRule="auto"/>
        <w:ind w:left="1200" w:right="240"/>
        <w:jc w:val="both"/>
        <w:rPr>
          <w:rFonts w:ascii="Arial" w:hAnsi="Arial"/>
          <w:color w:val="000000"/>
          <w:sz w:val="24"/>
          <w:szCs w:val="24"/>
        </w:rPr>
      </w:pPr>
      <w:r>
        <w:rPr>
          <w:rFonts w:ascii="Arial" w:hAnsi="Arial"/>
          <w:color w:val="000000"/>
          <w:sz w:val="24"/>
          <w:szCs w:val="24"/>
        </w:rPr>
        <w:t>L</w:t>
      </w:r>
      <w:r w:rsidRPr="008F4D9C">
        <w:rPr>
          <w:rFonts w:ascii="Arial" w:hAnsi="Arial"/>
          <w:color w:val="000000"/>
          <w:sz w:val="24"/>
          <w:szCs w:val="24"/>
        </w:rPr>
        <w:t xml:space="preserve">os </w:t>
      </w:r>
      <w:r w:rsidRPr="005B4123">
        <w:rPr>
          <w:rFonts w:ascii="Arial" w:hAnsi="Arial"/>
          <w:sz w:val="24"/>
          <w:szCs w:val="24"/>
        </w:rPr>
        <w:t>Organismos Especializados</w:t>
      </w:r>
      <w:r w:rsidRPr="008F4D9C">
        <w:rPr>
          <w:rFonts w:ascii="Arial" w:hAnsi="Arial"/>
          <w:color w:val="000000"/>
          <w:sz w:val="24"/>
          <w:szCs w:val="24"/>
        </w:rPr>
        <w:t xml:space="preserve">, y </w:t>
      </w:r>
    </w:p>
    <w:p w:rsidR="00212B47" w:rsidRPr="00684797" w:rsidRDefault="00212B47" w:rsidP="00357B5E">
      <w:pPr>
        <w:numPr>
          <w:ilvl w:val="0"/>
          <w:numId w:val="1"/>
        </w:numPr>
        <w:shd w:val="clear" w:color="auto" w:fill="FFFFFF"/>
        <w:spacing w:before="240" w:after="240" w:line="240" w:lineRule="auto"/>
        <w:ind w:left="1200" w:right="240"/>
        <w:jc w:val="both"/>
        <w:rPr>
          <w:rFonts w:ascii="Tahoma" w:hAnsi="Tahoma" w:cs="Tahoma"/>
          <w:color w:val="333333"/>
          <w:sz w:val="20"/>
          <w:szCs w:val="20"/>
        </w:rPr>
      </w:pPr>
      <w:r w:rsidRPr="005B4123">
        <w:rPr>
          <w:rFonts w:ascii="Arial" w:hAnsi="Arial"/>
          <w:sz w:val="24"/>
          <w:szCs w:val="24"/>
        </w:rPr>
        <w:t>Otras entidades</w:t>
      </w:r>
      <w:r w:rsidRPr="008F4D9C">
        <w:rPr>
          <w:rFonts w:ascii="Arial" w:hAnsi="Arial"/>
          <w:color w:val="000000"/>
          <w:sz w:val="24"/>
          <w:szCs w:val="24"/>
        </w:rPr>
        <w:t xml:space="preserve"> establecidas por </w:t>
      </w:r>
      <w:smartTag w:uri="urn:schemas-microsoft-com:office:smarttags" w:element="PersonName">
        <w:smartTagPr>
          <w:attr w:name="ProductID" w:val="la Secretaría General"/>
        </w:smartTagPr>
        <w:r w:rsidRPr="008F4D9C">
          <w:rPr>
            <w:rFonts w:ascii="Arial" w:hAnsi="Arial"/>
            <w:color w:val="000000"/>
            <w:sz w:val="24"/>
            <w:szCs w:val="24"/>
          </w:rPr>
          <w:t>la Asamblea General.</w:t>
        </w:r>
      </w:smartTag>
    </w:p>
    <w:p w:rsidR="00212B47" w:rsidRPr="00684797" w:rsidRDefault="00212B47" w:rsidP="00684797">
      <w:pPr>
        <w:shd w:val="clear" w:color="auto" w:fill="FFFFFF"/>
        <w:spacing w:before="240" w:after="240" w:line="240" w:lineRule="auto"/>
        <w:ind w:right="240"/>
        <w:jc w:val="both"/>
        <w:rPr>
          <w:rFonts w:ascii="Arial" w:hAnsi="Arial"/>
          <w:color w:val="000000"/>
          <w:sz w:val="24"/>
          <w:szCs w:val="24"/>
        </w:rPr>
      </w:pPr>
    </w:p>
    <w:p w:rsidR="00212B47" w:rsidRPr="00684797" w:rsidRDefault="00212B47" w:rsidP="00684797">
      <w:pPr>
        <w:jc w:val="both"/>
        <w:rPr>
          <w:rFonts w:ascii="Arial" w:hAnsi="Arial"/>
          <w:sz w:val="24"/>
          <w:szCs w:val="24"/>
        </w:rPr>
      </w:pPr>
      <w:r w:rsidRPr="00684797">
        <w:rPr>
          <w:rFonts w:ascii="Arial" w:hAnsi="Arial"/>
          <w:sz w:val="24"/>
          <w:szCs w:val="24"/>
        </w:rPr>
        <w:t>“</w:t>
      </w:r>
      <w:smartTag w:uri="urn:schemas-microsoft-com:office:smarttags" w:element="PersonName">
        <w:smartTagPr>
          <w:attr w:name="ProductID" w:val="la Secretaría General"/>
        </w:smartTagPr>
        <w:r w:rsidRPr="00684797">
          <w:rPr>
            <w:rFonts w:ascii="Arial" w:hAnsi="Arial"/>
            <w:sz w:val="24"/>
            <w:szCs w:val="24"/>
          </w:rPr>
          <w:t>La Asamblea General</w:t>
        </w:r>
      </w:smartTag>
      <w:r w:rsidRPr="00684797">
        <w:rPr>
          <w:rFonts w:ascii="Arial" w:hAnsi="Arial"/>
          <w:sz w:val="24"/>
          <w:szCs w:val="24"/>
        </w:rPr>
        <w:t xml:space="preserve"> celebra períodos ordinarios de sesiones una vez por año. En circunstancias especiales se reúne en períodos extraordinarios de sesiones. La Reunión de Consulta se convoca con el fin de considerar asuntos 3de carácter urgente y de interés común, y para servir de Órgano de Consulta en la aplicación del </w:t>
      </w:r>
      <w:r w:rsidRPr="005B4123">
        <w:rPr>
          <w:rFonts w:ascii="Arial" w:hAnsi="Arial"/>
          <w:sz w:val="24"/>
          <w:szCs w:val="24"/>
          <w:u w:color="0B3C86"/>
        </w:rPr>
        <w:t>Tratado Interamericano de Asistencia Recíproca (TIAR)</w:t>
      </w:r>
      <w:r w:rsidRPr="00684797">
        <w:rPr>
          <w:rFonts w:ascii="Arial" w:hAnsi="Arial"/>
          <w:sz w:val="24"/>
          <w:szCs w:val="24"/>
        </w:rPr>
        <w:t>, que es el principal instrumento para la acción solidaria en caso de agresión”</w:t>
      </w:r>
      <w:r w:rsidRPr="00684797">
        <w:rPr>
          <w:rStyle w:val="FootnoteReference"/>
          <w:rFonts w:ascii="Arial" w:hAnsi="Arial" w:cs="Arial"/>
          <w:sz w:val="24"/>
          <w:szCs w:val="24"/>
        </w:rPr>
        <w:footnoteReference w:id="1"/>
      </w:r>
    </w:p>
    <w:p w:rsidR="00212B47" w:rsidRDefault="00212B47" w:rsidP="00357B5E">
      <w:pPr>
        <w:shd w:val="clear" w:color="auto" w:fill="FFFFFF"/>
        <w:spacing w:before="240" w:after="240" w:line="240" w:lineRule="auto"/>
        <w:ind w:right="240"/>
        <w:jc w:val="both"/>
        <w:rPr>
          <w:rFonts w:ascii="Arial" w:hAnsi="Arial"/>
          <w:color w:val="000000"/>
          <w:sz w:val="24"/>
          <w:szCs w:val="24"/>
        </w:rPr>
      </w:pPr>
    </w:p>
    <w:p w:rsidR="00212B47" w:rsidRDefault="00212B47" w:rsidP="00357B5E">
      <w:pPr>
        <w:shd w:val="clear" w:color="auto" w:fill="FFFFFF"/>
        <w:spacing w:before="240" w:after="240" w:line="240" w:lineRule="auto"/>
        <w:ind w:right="240"/>
        <w:jc w:val="both"/>
        <w:rPr>
          <w:rFonts w:ascii="Arial" w:hAnsi="Arial"/>
          <w:color w:val="000000"/>
          <w:sz w:val="24"/>
          <w:szCs w:val="24"/>
        </w:rPr>
      </w:pPr>
    </w:p>
    <w:p w:rsidR="00212B47" w:rsidRDefault="00212B47" w:rsidP="00357B5E">
      <w:pPr>
        <w:shd w:val="clear" w:color="auto" w:fill="FFFFFF"/>
        <w:spacing w:before="240" w:after="240" w:line="240" w:lineRule="auto"/>
        <w:ind w:right="240"/>
        <w:jc w:val="both"/>
        <w:rPr>
          <w:rFonts w:ascii="Arial" w:hAnsi="Arial"/>
          <w:color w:val="000000"/>
          <w:sz w:val="24"/>
          <w:szCs w:val="24"/>
        </w:rPr>
      </w:pPr>
    </w:p>
    <w:p w:rsidR="00212B47" w:rsidRDefault="00212B47" w:rsidP="00357B5E">
      <w:pPr>
        <w:shd w:val="clear" w:color="auto" w:fill="FFFFFF"/>
        <w:spacing w:before="240" w:after="240" w:line="240" w:lineRule="auto"/>
        <w:ind w:right="240"/>
        <w:jc w:val="both"/>
        <w:rPr>
          <w:rFonts w:ascii="Arial" w:hAnsi="Arial"/>
          <w:color w:val="000000"/>
          <w:sz w:val="24"/>
          <w:szCs w:val="24"/>
        </w:rPr>
      </w:pPr>
    </w:p>
    <w:p w:rsidR="00212B47" w:rsidRDefault="00212B47" w:rsidP="00684797">
      <w:pPr>
        <w:shd w:val="clear" w:color="auto" w:fill="FFFFFF"/>
        <w:spacing w:before="240" w:after="240" w:line="240" w:lineRule="auto"/>
        <w:ind w:right="240"/>
        <w:jc w:val="both"/>
        <w:rPr>
          <w:rFonts w:ascii="Arial" w:hAnsi="Arial"/>
          <w:b/>
          <w:bCs/>
          <w:color w:val="000000"/>
          <w:sz w:val="24"/>
          <w:szCs w:val="24"/>
        </w:rPr>
      </w:pPr>
      <w:bookmarkStart w:id="4" w:name="_Toc304368408"/>
      <w:r w:rsidRPr="006666AB">
        <w:rPr>
          <w:rStyle w:val="Heading1Char"/>
          <w:rFonts w:ascii="Arial" w:hAnsi="Arial" w:cs="Arial"/>
          <w:color w:val="000000"/>
          <w:sz w:val="24"/>
          <w:szCs w:val="24"/>
        </w:rPr>
        <w:t>OEA Y DERECHOS HUMANOS</w:t>
      </w:r>
      <w:bookmarkEnd w:id="4"/>
      <w:r>
        <w:rPr>
          <w:rFonts w:ascii="Arial" w:hAnsi="Arial"/>
          <w:b/>
          <w:bCs/>
          <w:color w:val="000000"/>
          <w:sz w:val="24"/>
          <w:szCs w:val="24"/>
        </w:rPr>
        <w:t xml:space="preserve"> </w:t>
      </w:r>
      <w:r w:rsidRPr="002061CE">
        <w:rPr>
          <w:rStyle w:val="Heading1Char"/>
          <w:rFonts w:ascii="Arial" w:hAnsi="Arial" w:cs="Arial"/>
          <w:color w:val="000000"/>
          <w:sz w:val="24"/>
          <w:szCs w:val="24"/>
        </w:rPr>
        <w:t>(CIDH)</w:t>
      </w:r>
    </w:p>
    <w:p w:rsidR="00212B47" w:rsidRDefault="00212B47" w:rsidP="00684797">
      <w:pPr>
        <w:shd w:val="clear" w:color="auto" w:fill="FFFFFF"/>
        <w:spacing w:before="240" w:after="240" w:line="240" w:lineRule="auto"/>
        <w:ind w:right="240"/>
        <w:jc w:val="both"/>
        <w:rPr>
          <w:rFonts w:ascii="Arial" w:hAnsi="Arial"/>
          <w:b/>
          <w:bCs/>
          <w:color w:val="000000"/>
          <w:sz w:val="24"/>
          <w:szCs w:val="24"/>
        </w:rPr>
      </w:pPr>
    </w:p>
    <w:p w:rsidR="00212B47" w:rsidRPr="001213A6" w:rsidRDefault="00212B47" w:rsidP="001213A6">
      <w:pPr>
        <w:widowControl w:val="0"/>
        <w:autoSpaceDE w:val="0"/>
        <w:autoSpaceDN w:val="0"/>
        <w:adjustRightInd w:val="0"/>
        <w:ind w:right="140"/>
        <w:jc w:val="both"/>
        <w:rPr>
          <w:rFonts w:ascii="Arial" w:hAnsi="Arial"/>
          <w:sz w:val="24"/>
          <w:szCs w:val="24"/>
        </w:rPr>
      </w:pPr>
      <w:r w:rsidRPr="001213A6">
        <w:rPr>
          <w:rFonts w:ascii="Arial" w:hAnsi="Arial"/>
          <w:sz w:val="24"/>
          <w:szCs w:val="24"/>
          <w:lang w:val="es-ES"/>
        </w:rPr>
        <w:t xml:space="preserve">La CIDH es un órgano principal y autónomo de la </w:t>
      </w:r>
      <w:r w:rsidRPr="005B4123">
        <w:rPr>
          <w:rFonts w:ascii="Arial" w:hAnsi="Arial"/>
          <w:b/>
          <w:bCs/>
          <w:sz w:val="24"/>
          <w:szCs w:val="24"/>
          <w:lang w:val="es-ES"/>
        </w:rPr>
        <w:t>Organización de los Estados Americanos</w:t>
      </w:r>
      <w:r w:rsidRPr="001213A6">
        <w:rPr>
          <w:rFonts w:ascii="Arial" w:hAnsi="Arial"/>
          <w:sz w:val="24"/>
          <w:szCs w:val="24"/>
          <w:lang w:val="es-ES"/>
        </w:rPr>
        <w:t xml:space="preserve"> (OEA), cuyo mandato surge de la Carta de la OEA y de </w:t>
      </w:r>
      <w:smartTag w:uri="urn:schemas-microsoft-com:office:smarttags" w:element="PersonName">
        <w:smartTagPr>
          <w:attr w:name="ProductID" w:val="la Secretaría General"/>
        </w:smartTagPr>
        <w:r w:rsidRPr="001213A6">
          <w:rPr>
            <w:rFonts w:ascii="Arial" w:hAnsi="Arial"/>
            <w:sz w:val="24"/>
            <w:szCs w:val="24"/>
            <w:lang w:val="es-ES"/>
          </w:rPr>
          <w:t>la Convención Americana</w:t>
        </w:r>
      </w:smartTag>
      <w:r w:rsidRPr="001213A6">
        <w:rPr>
          <w:rFonts w:ascii="Arial" w:hAnsi="Arial"/>
          <w:sz w:val="24"/>
          <w:szCs w:val="24"/>
          <w:lang w:val="es-ES"/>
        </w:rPr>
        <w:t xml:space="preserve"> sobre Derechos Humanos</w:t>
      </w:r>
    </w:p>
    <w:p w:rsidR="00212B47" w:rsidRDefault="00212B47" w:rsidP="00684797">
      <w:pPr>
        <w:shd w:val="clear" w:color="auto" w:fill="FFFFFF"/>
        <w:spacing w:before="240" w:after="240" w:line="240" w:lineRule="auto"/>
        <w:ind w:right="240"/>
        <w:jc w:val="both"/>
        <w:rPr>
          <w:rFonts w:ascii="Arial" w:hAnsi="Arial" w:cs="Tahoma"/>
          <w:sz w:val="24"/>
          <w:szCs w:val="24"/>
        </w:rPr>
      </w:pPr>
      <w:r w:rsidRPr="009E648A">
        <w:rPr>
          <w:rFonts w:ascii="Arial" w:hAnsi="Arial" w:cs="Tahoma"/>
          <w:sz w:val="24"/>
          <w:szCs w:val="24"/>
        </w:rPr>
        <w:t xml:space="preserve">El respeto de los derechos humanos está en el corazón mismo de </w:t>
      </w:r>
      <w:smartTag w:uri="urn:schemas-microsoft-com:office:smarttags" w:element="PersonName">
        <w:smartTagPr>
          <w:attr w:name="ProductID" w:val="la Secretaría General"/>
        </w:smartTagPr>
        <w:r w:rsidRPr="009E648A">
          <w:rPr>
            <w:rFonts w:ascii="Arial" w:hAnsi="Arial" w:cs="Tahoma"/>
            <w:sz w:val="24"/>
            <w:szCs w:val="24"/>
          </w:rPr>
          <w:t>la democracia. A</w:t>
        </w:r>
      </w:smartTag>
      <w:r w:rsidRPr="009E648A">
        <w:rPr>
          <w:rFonts w:ascii="Arial" w:hAnsi="Arial" w:cs="Tahoma"/>
          <w:sz w:val="24"/>
          <w:szCs w:val="24"/>
        </w:rPr>
        <w:t xml:space="preserve"> lo largo de cinco décadas, </w:t>
      </w:r>
      <w:smartTag w:uri="urn:schemas-microsoft-com:office:smarttags" w:element="PersonName">
        <w:smartTagPr>
          <w:attr w:name="ProductID" w:val="la Secretaría General"/>
        </w:smartTagPr>
        <w:r w:rsidRPr="009E648A">
          <w:rPr>
            <w:rFonts w:ascii="Arial" w:hAnsi="Arial" w:cs="Tahoma"/>
            <w:sz w:val="24"/>
            <w:szCs w:val="24"/>
          </w:rPr>
          <w:t>la Comisión Interamericana</w:t>
        </w:r>
      </w:smartTag>
      <w:r w:rsidRPr="009E648A">
        <w:rPr>
          <w:rFonts w:ascii="Arial" w:hAnsi="Arial" w:cs="Tahoma"/>
          <w:sz w:val="24"/>
          <w:szCs w:val="24"/>
        </w:rPr>
        <w:t xml:space="preserve"> de Derechos Humanos (CIDH) ha abogado por la justicia y defendido la libertad en las Américas. La CIDH trabaja con los Estados para ayudar a fortalecer las leyes e instituciones que proporcionan protección de los derechos humanos.</w:t>
      </w:r>
    </w:p>
    <w:p w:rsidR="00212B47" w:rsidRDefault="00212B47" w:rsidP="009E648A">
      <w:pPr>
        <w:widowControl w:val="0"/>
        <w:autoSpaceDE w:val="0"/>
        <w:autoSpaceDN w:val="0"/>
        <w:adjustRightInd w:val="0"/>
        <w:ind w:right="140"/>
        <w:jc w:val="both"/>
        <w:rPr>
          <w:rFonts w:ascii="Arial" w:hAnsi="Arial" w:cs="Tahoma"/>
          <w:sz w:val="24"/>
          <w:szCs w:val="24"/>
        </w:rPr>
      </w:pPr>
      <w:r w:rsidRPr="009E648A">
        <w:rPr>
          <w:rFonts w:ascii="Arial" w:hAnsi="Arial" w:cs="Tahoma"/>
          <w:sz w:val="24"/>
          <w:szCs w:val="24"/>
        </w:rPr>
        <w:t>La comisión interamericana de Derechos Humanos es uno de los órganos responsables por la protección y promoción de los Derechos Humanos, la cual está integrada por 7 miembros elegidos por la asamblea general.</w:t>
      </w:r>
    </w:p>
    <w:p w:rsidR="00212B47" w:rsidRPr="009E648A" w:rsidRDefault="00212B47" w:rsidP="00684797">
      <w:pPr>
        <w:shd w:val="clear" w:color="auto" w:fill="FFFFFF"/>
        <w:spacing w:before="240" w:after="240" w:line="240" w:lineRule="auto"/>
        <w:ind w:right="240"/>
        <w:jc w:val="both"/>
        <w:rPr>
          <w:rFonts w:ascii="Arial" w:hAnsi="Arial"/>
          <w:b/>
          <w:bCs/>
          <w:color w:val="000000"/>
          <w:sz w:val="24"/>
          <w:szCs w:val="24"/>
        </w:rPr>
      </w:pPr>
    </w:p>
    <w:p w:rsidR="00212B47" w:rsidRPr="00357B5E" w:rsidRDefault="00212B47" w:rsidP="00357B5E">
      <w:pPr>
        <w:shd w:val="clear" w:color="auto" w:fill="FFFFFF"/>
        <w:spacing w:before="240" w:after="240" w:line="240" w:lineRule="auto"/>
        <w:ind w:right="240"/>
        <w:jc w:val="both"/>
        <w:rPr>
          <w:rFonts w:ascii="Arial" w:hAnsi="Arial"/>
          <w:b/>
          <w:bCs/>
          <w:color w:val="000000"/>
          <w:sz w:val="24"/>
          <w:szCs w:val="24"/>
        </w:rPr>
      </w:pPr>
      <w:bookmarkStart w:id="5" w:name="_Toc304368409"/>
      <w:r w:rsidRPr="006666AB">
        <w:rPr>
          <w:rStyle w:val="Heading1Char"/>
          <w:rFonts w:ascii="Arial" w:hAnsi="Arial" w:cs="Arial"/>
          <w:color w:val="000000"/>
          <w:sz w:val="24"/>
          <w:szCs w:val="24"/>
        </w:rPr>
        <w:t>REFUGIADOS Y</w:t>
      </w:r>
      <w:bookmarkEnd w:id="5"/>
      <w:r w:rsidRPr="006666AB">
        <w:rPr>
          <w:rFonts w:ascii="Arial" w:hAnsi="Arial"/>
          <w:b/>
          <w:bCs/>
          <w:color w:val="000000"/>
          <w:sz w:val="24"/>
          <w:szCs w:val="24"/>
        </w:rPr>
        <w:t xml:space="preserve"> </w:t>
      </w:r>
      <w:r w:rsidRPr="002061CE">
        <w:rPr>
          <w:rStyle w:val="Heading1Char"/>
          <w:rFonts w:ascii="Arial" w:hAnsi="Arial" w:cs="Arial"/>
          <w:color w:val="000000"/>
          <w:sz w:val="24"/>
          <w:szCs w:val="24"/>
        </w:rPr>
        <w:t xml:space="preserve">DESPLAZADOS </w:t>
      </w:r>
    </w:p>
    <w:p w:rsidR="00212B47" w:rsidRPr="00EA1017" w:rsidRDefault="00212B47" w:rsidP="00EA1017">
      <w:pPr>
        <w:jc w:val="both"/>
        <w:rPr>
          <w:rFonts w:ascii="Arial" w:hAnsi="Arial"/>
          <w:sz w:val="24"/>
          <w:szCs w:val="24"/>
        </w:rPr>
      </w:pPr>
      <w:r w:rsidRPr="00EA1017">
        <w:rPr>
          <w:rFonts w:ascii="Arial" w:hAnsi="Arial"/>
          <w:sz w:val="24"/>
          <w:szCs w:val="24"/>
        </w:rPr>
        <w:t>En años recientes, la Organización ha trabajado para poner en evidencia la difícil situación de los ciudadanos afectados y en encontrar soluciones comunes para abordar el problema internacional.</w:t>
      </w:r>
    </w:p>
    <w:p w:rsidR="00212B47" w:rsidRPr="00EA1017" w:rsidRDefault="00212B47" w:rsidP="00EA1017">
      <w:pPr>
        <w:jc w:val="both"/>
        <w:rPr>
          <w:rFonts w:ascii="Arial" w:hAnsi="Arial"/>
          <w:sz w:val="24"/>
          <w:szCs w:val="24"/>
        </w:rPr>
      </w:pPr>
    </w:p>
    <w:p w:rsidR="00212B47" w:rsidRPr="00EA1017" w:rsidRDefault="00212B47" w:rsidP="00EA1017">
      <w:pPr>
        <w:jc w:val="both"/>
        <w:rPr>
          <w:rFonts w:ascii="Arial" w:hAnsi="Arial"/>
          <w:sz w:val="24"/>
          <w:szCs w:val="24"/>
        </w:rPr>
      </w:pPr>
      <w:r w:rsidRPr="00EA1017">
        <w:rPr>
          <w:rFonts w:ascii="Arial" w:hAnsi="Arial"/>
          <w:sz w:val="24"/>
          <w:szCs w:val="24"/>
        </w:rPr>
        <w:t>Según distintas organizaciones del derecho internacional</w:t>
      </w:r>
      <w:r w:rsidRPr="00EA1017">
        <w:rPr>
          <w:rStyle w:val="FootnoteReference"/>
          <w:rFonts w:ascii="Arial" w:hAnsi="Arial" w:cs="Arial"/>
          <w:sz w:val="24"/>
          <w:szCs w:val="24"/>
        </w:rPr>
        <w:footnoteReference w:id="2"/>
      </w:r>
      <w:r w:rsidRPr="00EA1017">
        <w:rPr>
          <w:rFonts w:ascii="Arial" w:hAnsi="Arial"/>
          <w:sz w:val="24"/>
          <w:szCs w:val="24"/>
        </w:rPr>
        <w:t xml:space="preserve"> REFUGIADO Y ASILADO territorial son conceptos aun en evolución, aunque; coinciden en ser víctimas de persecuciones directas o indirectas que buscan seguridad en otro país. </w:t>
      </w:r>
    </w:p>
    <w:p w:rsidR="00212B47" w:rsidRPr="002061CE" w:rsidRDefault="00212B47" w:rsidP="00EA1017">
      <w:pPr>
        <w:jc w:val="both"/>
        <w:rPr>
          <w:rFonts w:ascii="Arial" w:hAnsi="Arial"/>
          <w:sz w:val="24"/>
          <w:szCs w:val="24"/>
        </w:rPr>
      </w:pPr>
      <w:r w:rsidRPr="002061CE">
        <w:rPr>
          <w:rFonts w:ascii="Arial" w:hAnsi="Arial"/>
          <w:sz w:val="24"/>
          <w:szCs w:val="24"/>
        </w:rPr>
        <w:t>En Colombia se estima que una proporción de compatriotas, son obligados coactivamente o por amenazas a dejar sus propiedades, geográficamente la población afectada de este flagelo se encuentra en las fronteras del territorio nacional, siendo más complejo en los límites con Ecuador, específicamente en el departamento de Nariño y Putumayo. Esta situación se convirtió en un problema internacional, siendo el Estado Ecuatoriano quien recibe a los despojados y les brinda seguridad jurídica cumpliendo el acuerdo de cooperación con Colombia. Generalmente son los campesinos de estas regiones que por acción violenta de grupos al margen de la ley o por los militares (Políticas de Fumigación con Herbicidas – Glifosato--). Según los refugiados, el gobierno central no les presta atención a sus requerimientos, o estos se solucionan de forma ineficiente, por ello acuden a Ecuador por ser un centro de desarrollo más cercano.</w:t>
      </w:r>
    </w:p>
    <w:p w:rsidR="00212B47" w:rsidRPr="002061CE" w:rsidRDefault="00212B47" w:rsidP="002061CE">
      <w:pPr>
        <w:jc w:val="both"/>
        <w:rPr>
          <w:rFonts w:ascii="Arial" w:hAnsi="Arial"/>
          <w:sz w:val="24"/>
          <w:szCs w:val="24"/>
        </w:rPr>
      </w:pPr>
      <w:r w:rsidRPr="002061CE">
        <w:rPr>
          <w:rFonts w:ascii="Arial" w:hAnsi="Arial"/>
          <w:sz w:val="24"/>
          <w:szCs w:val="24"/>
        </w:rPr>
        <w:t>En los Principios Rectores de los Desplazamientos Internos elaborados por el [Representante del Secretario General de las Naciones Unidas sobre las Personas Internamente Desplazadas], se define a los desplazados internos como “las personas o grupos de personas que se han visto forzadas u obligadas a escapar o huir de su hogar o de su lugar de residencia habitual, en particular como resultado o para evitar los efectos de un conflicto armado, de situaciones de violencia generalizada, de violaciones de los derechos humanos o de catástrofes naturales o provocadas por el ser humano, y que no han cruzado una frontera estatal internacionalmente reconocida”.</w:t>
      </w:r>
    </w:p>
    <w:p w:rsidR="00212B47" w:rsidRPr="001213A6" w:rsidRDefault="00212B47" w:rsidP="00EA1017">
      <w:pPr>
        <w:jc w:val="both"/>
        <w:rPr>
          <w:rFonts w:ascii="Arial" w:hAnsi="Arial"/>
        </w:rPr>
      </w:pPr>
    </w:p>
    <w:p w:rsidR="00212B47" w:rsidRPr="005710A5" w:rsidRDefault="00212B47" w:rsidP="005710A5">
      <w:pPr>
        <w:pStyle w:val="Heading1"/>
        <w:rPr>
          <w:rFonts w:ascii="Arial" w:hAnsi="Arial" w:cs="Arial"/>
          <w:color w:val="000000"/>
          <w:sz w:val="24"/>
          <w:szCs w:val="24"/>
        </w:rPr>
      </w:pPr>
      <w:bookmarkStart w:id="6" w:name="_Toc304368410"/>
      <w:r w:rsidRPr="006666AB">
        <w:rPr>
          <w:rFonts w:ascii="Arial" w:hAnsi="Arial" w:cs="Arial"/>
          <w:color w:val="000000"/>
          <w:sz w:val="24"/>
          <w:szCs w:val="24"/>
        </w:rPr>
        <w:t>MARCO TEORICO</w:t>
      </w:r>
      <w:bookmarkEnd w:id="6"/>
    </w:p>
    <w:p w:rsidR="00212B47" w:rsidRDefault="00212B47" w:rsidP="006666AB">
      <w:pPr>
        <w:pStyle w:val="Heading2"/>
        <w:rPr>
          <w:rFonts w:ascii="Arial" w:hAnsi="Arial" w:cs="Arial"/>
          <w:color w:val="000000"/>
          <w:sz w:val="24"/>
          <w:szCs w:val="24"/>
        </w:rPr>
      </w:pPr>
      <w:bookmarkStart w:id="7" w:name="_Toc304368411"/>
      <w:r w:rsidRPr="006666AB">
        <w:rPr>
          <w:rFonts w:ascii="Arial" w:hAnsi="Arial" w:cs="Arial"/>
          <w:color w:val="000000"/>
          <w:sz w:val="24"/>
          <w:szCs w:val="24"/>
        </w:rPr>
        <w:t>Cartas y Tratados</w:t>
      </w:r>
      <w:bookmarkEnd w:id="7"/>
    </w:p>
    <w:p w:rsidR="00212B47" w:rsidRPr="00EA1017" w:rsidRDefault="00212B47" w:rsidP="00EA1017">
      <w:pPr>
        <w:jc w:val="both"/>
        <w:rPr>
          <w:rFonts w:ascii="Arial" w:hAnsi="Arial"/>
          <w:sz w:val="24"/>
          <w:szCs w:val="24"/>
        </w:rPr>
      </w:pPr>
      <w:r w:rsidRPr="00EA1017">
        <w:rPr>
          <w:rFonts w:ascii="Arial" w:hAnsi="Arial"/>
          <w:sz w:val="24"/>
          <w:szCs w:val="24"/>
        </w:rPr>
        <w:t xml:space="preserve">En el marco de las Organización de Estados Americanos, los Estados celebran acuerdos bilaterales, multilaterales y plurilaterales entre sí, en materias como </w:t>
      </w:r>
      <w:smartTag w:uri="urn:schemas-microsoft-com:office:smarttags" w:element="PersonName">
        <w:smartTagPr>
          <w:attr w:name="ProductID" w:val="la Secretaría General"/>
        </w:smartTagPr>
        <w:r w:rsidRPr="00EA1017">
          <w:rPr>
            <w:rFonts w:ascii="Arial" w:hAnsi="Arial"/>
            <w:sz w:val="24"/>
            <w:szCs w:val="24"/>
          </w:rPr>
          <w:t>la Cooperación Jurídica</w:t>
        </w:r>
      </w:smartTag>
      <w:r w:rsidRPr="00EA1017">
        <w:rPr>
          <w:rFonts w:ascii="Arial" w:hAnsi="Arial"/>
          <w:sz w:val="24"/>
          <w:szCs w:val="24"/>
        </w:rPr>
        <w:t>, la agricultura, inmunidades, Banco Interamericano de Desarrollo BID, Seguridad Hemisférica, etc.</w:t>
      </w:r>
    </w:p>
    <w:p w:rsidR="00212B47" w:rsidRPr="00EA1017" w:rsidRDefault="00212B47" w:rsidP="00EA1017">
      <w:pPr>
        <w:jc w:val="both"/>
        <w:rPr>
          <w:rFonts w:ascii="Arial" w:hAnsi="Arial"/>
          <w:sz w:val="24"/>
          <w:szCs w:val="24"/>
        </w:rPr>
      </w:pPr>
    </w:p>
    <w:p w:rsidR="00212B47" w:rsidRPr="00EA1017" w:rsidRDefault="00212B47" w:rsidP="00EA1017">
      <w:pPr>
        <w:jc w:val="both"/>
        <w:rPr>
          <w:rFonts w:ascii="Arial" w:hAnsi="Arial"/>
          <w:sz w:val="24"/>
          <w:szCs w:val="24"/>
        </w:rPr>
      </w:pPr>
      <w:r w:rsidRPr="00EA1017">
        <w:rPr>
          <w:rFonts w:ascii="Arial" w:hAnsi="Arial"/>
          <w:sz w:val="24"/>
          <w:szCs w:val="24"/>
        </w:rPr>
        <w:t>Estas Convenciones deben ser aprobadas y ratificadas por los Estados parte y en sentido material es vinculante en el ordenamiento interno, incorporándose y siendo de obligatorio cumplimiento.</w:t>
      </w:r>
    </w:p>
    <w:p w:rsidR="00212B47" w:rsidRPr="00EA1017" w:rsidRDefault="00212B47" w:rsidP="00EA1017">
      <w:pPr>
        <w:jc w:val="both"/>
        <w:rPr>
          <w:rFonts w:ascii="Arial" w:hAnsi="Arial"/>
          <w:sz w:val="24"/>
          <w:szCs w:val="24"/>
        </w:rPr>
      </w:pPr>
      <w:r w:rsidRPr="00EA1017">
        <w:rPr>
          <w:rFonts w:ascii="Arial" w:hAnsi="Arial"/>
          <w:sz w:val="24"/>
          <w:szCs w:val="24"/>
        </w:rPr>
        <w:t>Ejemplos de la vinculación material de las prerrogativas internacionales Son:</w:t>
      </w:r>
    </w:p>
    <w:p w:rsidR="00212B47" w:rsidRDefault="00212B47" w:rsidP="00F66124">
      <w:pPr>
        <w:pStyle w:val="text2"/>
        <w:spacing w:before="0" w:beforeAutospacing="0" w:after="0" w:afterAutospacing="0" w:line="360" w:lineRule="auto"/>
        <w:jc w:val="both"/>
        <w:rPr>
          <w:rFonts w:ascii="Arial" w:hAnsi="Arial" w:cs="Arial"/>
          <w:b/>
          <w:bCs/>
        </w:rPr>
      </w:pPr>
    </w:p>
    <w:p w:rsidR="00212B47" w:rsidRDefault="00212B47" w:rsidP="005D3409">
      <w:pPr>
        <w:pStyle w:val="text2"/>
        <w:numPr>
          <w:ilvl w:val="0"/>
          <w:numId w:val="5"/>
        </w:numPr>
        <w:spacing w:before="0" w:beforeAutospacing="0" w:after="0" w:afterAutospacing="0" w:line="360" w:lineRule="auto"/>
        <w:jc w:val="both"/>
        <w:rPr>
          <w:rFonts w:ascii="Arial" w:hAnsi="Arial" w:cs="Arial"/>
        </w:rPr>
      </w:pPr>
      <w:bookmarkStart w:id="8" w:name="_Ref304351332"/>
      <w:r w:rsidRPr="00F66124">
        <w:rPr>
          <w:rFonts w:ascii="Arial" w:hAnsi="Arial" w:cs="Arial"/>
          <w:b/>
          <w:bCs/>
        </w:rPr>
        <w:t>El Derecho Internacional Humanitario (DIH)</w:t>
      </w:r>
      <w:r w:rsidRPr="00F66124">
        <w:rPr>
          <w:rFonts w:ascii="Arial" w:hAnsi="Arial" w:cs="Arial"/>
        </w:rPr>
        <w:t xml:space="preserve"> es la rama del derecho internacional destinado limitar y evitar el sufrimiento humano en tiempo de conflicto armado. En este sentido, el DIH limita los métodos y el alcance de guerra por medio de normas universales, tratados y costumbres, que limitan los efectos del conflicto armado con el objetivo de proteger a personas civiles y personas que ya no estén participando en hostilidades.</w:t>
      </w:r>
      <w:bookmarkEnd w:id="8"/>
      <w:r w:rsidRPr="00F66124">
        <w:rPr>
          <w:rFonts w:ascii="Arial" w:hAnsi="Arial" w:cs="Arial"/>
        </w:rPr>
        <w:t xml:space="preserve"> </w:t>
      </w:r>
    </w:p>
    <w:p w:rsidR="00212B47" w:rsidRDefault="00212B47" w:rsidP="00F66124">
      <w:pPr>
        <w:pStyle w:val="text2"/>
        <w:spacing w:before="0" w:beforeAutospacing="0" w:after="0" w:afterAutospacing="0" w:line="360" w:lineRule="auto"/>
        <w:jc w:val="both"/>
        <w:rPr>
          <w:rFonts w:ascii="Arial" w:hAnsi="Arial" w:cs="Arial"/>
        </w:rPr>
      </w:pPr>
    </w:p>
    <w:p w:rsidR="00212B47" w:rsidRDefault="00212B47" w:rsidP="00F66124">
      <w:pPr>
        <w:pStyle w:val="text2"/>
        <w:spacing w:before="0" w:beforeAutospacing="0" w:after="0" w:afterAutospacing="0" w:line="360" w:lineRule="auto"/>
        <w:jc w:val="both"/>
        <w:rPr>
          <w:rFonts w:ascii="Arial" w:hAnsi="Arial" w:cs="Arial"/>
        </w:rPr>
      </w:pPr>
      <w:r>
        <w:rPr>
          <w:rFonts w:ascii="Arial" w:hAnsi="Arial" w:cs="Arial"/>
        </w:rPr>
        <w:t>Uno de los Tratados de más relevancia jurídico-penal en el ámbito regional que versa sobre temas concurrentes a los Derechos Humanos y que igualmente tiene jerarquía constitucional es el Pacto de San José de Costa Rica, denominada oficialmente Convención Americana de Derechos Humanos, destacándose; los derechos y deberes de los Estados signatarios, fundamentalmente son:</w:t>
      </w:r>
    </w:p>
    <w:p w:rsidR="00212B47" w:rsidRPr="00EA1017" w:rsidRDefault="00212B47" w:rsidP="00EA1017">
      <w:pPr>
        <w:jc w:val="both"/>
        <w:rPr>
          <w:rFonts w:ascii="Arial" w:hAnsi="Arial"/>
          <w:sz w:val="24"/>
          <w:szCs w:val="24"/>
        </w:rPr>
      </w:pPr>
    </w:p>
    <w:p w:rsidR="00212B47" w:rsidRPr="002061CE" w:rsidRDefault="00212B47" w:rsidP="00EA1017">
      <w:pPr>
        <w:jc w:val="both"/>
        <w:rPr>
          <w:rFonts w:ascii="Arial" w:hAnsi="Arial"/>
          <w:b/>
          <w:bCs/>
          <w:sz w:val="24"/>
          <w:szCs w:val="24"/>
        </w:rPr>
      </w:pPr>
      <w:r w:rsidRPr="002061CE">
        <w:rPr>
          <w:rFonts w:ascii="Arial" w:hAnsi="Arial"/>
          <w:b/>
          <w:bCs/>
          <w:sz w:val="24"/>
          <w:szCs w:val="24"/>
        </w:rPr>
        <w:t>DEBERES</w:t>
      </w:r>
    </w:p>
    <w:p w:rsidR="00212B47" w:rsidRPr="00EA1017" w:rsidRDefault="00212B47" w:rsidP="002061CE">
      <w:pPr>
        <w:jc w:val="both"/>
        <w:rPr>
          <w:rFonts w:ascii="Arial" w:hAnsi="Arial"/>
          <w:i/>
          <w:iCs/>
          <w:sz w:val="24"/>
          <w:szCs w:val="24"/>
        </w:rPr>
      </w:pPr>
      <w:r w:rsidRPr="00EA1017">
        <w:rPr>
          <w:rFonts w:ascii="Arial" w:hAnsi="Arial"/>
          <w:i/>
          <w:iCs/>
          <w:sz w:val="24"/>
          <w:szCs w:val="24"/>
        </w:rPr>
        <w:t>1) Respetar los derechos y libertades reconocidos en la Convención y garantizar su libre y pleno ejercicio a toda persona que esté sujeta a su j</w:t>
      </w:r>
      <w:r>
        <w:rPr>
          <w:rFonts w:ascii="Arial" w:hAnsi="Arial"/>
          <w:i/>
          <w:iCs/>
          <w:sz w:val="24"/>
          <w:szCs w:val="24"/>
        </w:rPr>
        <w:t xml:space="preserve">urisdicción, sin discriminación </w:t>
      </w:r>
      <w:r w:rsidRPr="00EA1017">
        <w:rPr>
          <w:rFonts w:ascii="Arial" w:hAnsi="Arial"/>
          <w:i/>
          <w:iCs/>
          <w:sz w:val="24"/>
          <w:szCs w:val="24"/>
        </w:rPr>
        <w:t>Alguna (art. 1);</w:t>
      </w:r>
    </w:p>
    <w:p w:rsidR="00212B47" w:rsidRPr="00EA1017" w:rsidRDefault="00212B47" w:rsidP="00EA1017">
      <w:pPr>
        <w:jc w:val="both"/>
        <w:rPr>
          <w:rFonts w:ascii="Arial" w:hAnsi="Arial"/>
          <w:i/>
          <w:iCs/>
          <w:sz w:val="24"/>
          <w:szCs w:val="24"/>
        </w:rPr>
      </w:pPr>
      <w:r w:rsidRPr="00EA1017">
        <w:rPr>
          <w:rFonts w:ascii="Arial" w:hAnsi="Arial"/>
          <w:i/>
          <w:iCs/>
          <w:sz w:val="24"/>
          <w:szCs w:val="24"/>
        </w:rPr>
        <w:t>2) Adoptar las medidas legislativas o de otra índole de carácter interno que fueren necesarias para hacer efectivos tales derechos y libertades (art. 2).-</w:t>
      </w:r>
    </w:p>
    <w:p w:rsidR="00212B47" w:rsidRPr="00EA1017" w:rsidRDefault="00212B47" w:rsidP="00EA1017">
      <w:pPr>
        <w:jc w:val="both"/>
        <w:rPr>
          <w:rFonts w:ascii="Arial" w:hAnsi="Arial"/>
          <w:b/>
          <w:bCs/>
          <w:color w:val="000000"/>
          <w:sz w:val="24"/>
          <w:szCs w:val="24"/>
        </w:rPr>
      </w:pPr>
      <w:r w:rsidRPr="00EA1017">
        <w:rPr>
          <w:rFonts w:ascii="Arial" w:hAnsi="Arial"/>
          <w:b/>
          <w:bCs/>
          <w:color w:val="000000"/>
          <w:sz w:val="24"/>
          <w:szCs w:val="24"/>
        </w:rPr>
        <w:t>DERECHOS</w:t>
      </w:r>
    </w:p>
    <w:p w:rsidR="00212B47" w:rsidRPr="002061CE" w:rsidRDefault="00212B47" w:rsidP="00EA1017">
      <w:pPr>
        <w:jc w:val="both"/>
        <w:rPr>
          <w:rFonts w:ascii="Arial" w:hAnsi="Arial"/>
          <w:color w:val="000000"/>
          <w:sz w:val="24"/>
          <w:szCs w:val="24"/>
        </w:rPr>
      </w:pPr>
      <w:r w:rsidRPr="002061CE">
        <w:rPr>
          <w:rFonts w:ascii="Arial" w:hAnsi="Arial"/>
          <w:color w:val="000000"/>
          <w:sz w:val="24"/>
          <w:szCs w:val="24"/>
        </w:rPr>
        <w:t>Derecho a la Vida</w:t>
      </w:r>
    </w:p>
    <w:p w:rsidR="00212B47" w:rsidRPr="002061CE" w:rsidRDefault="00212B47" w:rsidP="00EA1017">
      <w:pPr>
        <w:jc w:val="both"/>
        <w:rPr>
          <w:rFonts w:ascii="Arial" w:hAnsi="Arial"/>
          <w:color w:val="000000"/>
          <w:sz w:val="24"/>
          <w:szCs w:val="24"/>
        </w:rPr>
      </w:pPr>
      <w:r w:rsidRPr="002061CE">
        <w:rPr>
          <w:rFonts w:ascii="Arial" w:hAnsi="Arial"/>
          <w:color w:val="000000"/>
          <w:sz w:val="24"/>
          <w:szCs w:val="24"/>
        </w:rPr>
        <w:t>Prohibición de la Esclavitud o Servidumbre</w:t>
      </w:r>
    </w:p>
    <w:p w:rsidR="00212B47" w:rsidRPr="002061CE" w:rsidRDefault="00212B47" w:rsidP="00EA1017">
      <w:pPr>
        <w:jc w:val="both"/>
        <w:rPr>
          <w:rFonts w:ascii="Arial" w:hAnsi="Arial"/>
          <w:color w:val="000000"/>
          <w:sz w:val="24"/>
          <w:szCs w:val="24"/>
        </w:rPr>
      </w:pPr>
      <w:r w:rsidRPr="002061CE">
        <w:rPr>
          <w:rFonts w:ascii="Arial" w:hAnsi="Arial"/>
          <w:color w:val="000000"/>
          <w:sz w:val="24"/>
          <w:szCs w:val="24"/>
        </w:rPr>
        <w:t>Derechos Políticos</w:t>
      </w:r>
    </w:p>
    <w:p w:rsidR="00212B47" w:rsidRPr="002061CE" w:rsidRDefault="00212B47" w:rsidP="00EA1017">
      <w:pPr>
        <w:jc w:val="both"/>
        <w:rPr>
          <w:rFonts w:ascii="Arial" w:hAnsi="Arial"/>
          <w:color w:val="000000"/>
          <w:sz w:val="24"/>
          <w:szCs w:val="24"/>
        </w:rPr>
      </w:pPr>
      <w:r w:rsidRPr="002061CE">
        <w:rPr>
          <w:rFonts w:ascii="Arial" w:hAnsi="Arial"/>
          <w:color w:val="000000"/>
          <w:sz w:val="24"/>
          <w:szCs w:val="24"/>
        </w:rPr>
        <w:t>Libertad de Religión y de Pensamiento</w:t>
      </w:r>
    </w:p>
    <w:p w:rsidR="00212B47" w:rsidRDefault="00212B47" w:rsidP="001A7CF3">
      <w:pPr>
        <w:pStyle w:val="Heading2"/>
        <w:spacing w:before="0" w:beforeAutospacing="0" w:after="0"/>
        <w:jc w:val="both"/>
        <w:rPr>
          <w:rFonts w:ascii="Arial" w:hAnsi="Arial" w:cs="Arial"/>
          <w:b w:val="0"/>
          <w:bCs w:val="0"/>
          <w:color w:val="000000"/>
          <w:sz w:val="24"/>
          <w:szCs w:val="24"/>
        </w:rPr>
      </w:pPr>
    </w:p>
    <w:p w:rsidR="00212B47" w:rsidRPr="00EA1017" w:rsidRDefault="00212B47" w:rsidP="00EA1017">
      <w:pPr>
        <w:jc w:val="both"/>
        <w:rPr>
          <w:rFonts w:ascii="Arial" w:hAnsi="Arial"/>
          <w:sz w:val="24"/>
          <w:szCs w:val="24"/>
        </w:rPr>
      </w:pPr>
      <w:r w:rsidRPr="00EA1017">
        <w:rPr>
          <w:rFonts w:ascii="Arial" w:hAnsi="Arial"/>
          <w:sz w:val="24"/>
          <w:szCs w:val="24"/>
        </w:rPr>
        <w:t>La CIDH Tiene como función principal promover y observar la defensa de los derechos humanos según el artículo 41 del acuerdo de San José.</w:t>
      </w:r>
    </w:p>
    <w:p w:rsidR="00212B47" w:rsidRPr="00EA1017" w:rsidRDefault="00212B47" w:rsidP="00EA1017">
      <w:pPr>
        <w:jc w:val="both"/>
        <w:rPr>
          <w:rFonts w:ascii="Arial" w:hAnsi="Arial"/>
          <w:sz w:val="24"/>
          <w:szCs w:val="24"/>
        </w:rPr>
      </w:pPr>
    </w:p>
    <w:p w:rsidR="00212B47" w:rsidRPr="00EA1017" w:rsidRDefault="00212B47" w:rsidP="00EA1017">
      <w:pPr>
        <w:jc w:val="both"/>
        <w:rPr>
          <w:rFonts w:ascii="Arial" w:hAnsi="Arial"/>
          <w:sz w:val="24"/>
          <w:szCs w:val="24"/>
        </w:rPr>
      </w:pPr>
      <w:r w:rsidRPr="002061CE">
        <w:rPr>
          <w:rFonts w:ascii="Arial" w:hAnsi="Arial"/>
          <w:b/>
          <w:bCs/>
          <w:sz w:val="24"/>
          <w:szCs w:val="24"/>
        </w:rPr>
        <w:t>2.</w:t>
      </w:r>
      <w:r w:rsidRPr="00EA1017">
        <w:rPr>
          <w:rFonts w:ascii="Arial" w:hAnsi="Arial"/>
          <w:sz w:val="24"/>
          <w:szCs w:val="24"/>
        </w:rPr>
        <w:t xml:space="preserve"> La Convención Interamericana de Desaparición Forzada de Personas es definida y preceptuada por el artículo 2 del acuerdo y dice:</w:t>
      </w:r>
    </w:p>
    <w:p w:rsidR="00212B47" w:rsidRDefault="00212B47" w:rsidP="005D3409">
      <w:pPr>
        <w:pStyle w:val="Heading2"/>
        <w:spacing w:before="0" w:beforeAutospacing="0" w:after="0"/>
        <w:jc w:val="both"/>
        <w:rPr>
          <w:rFonts w:ascii="Arial" w:hAnsi="Arial" w:cs="Arial"/>
          <w:b w:val="0"/>
          <w:bCs w:val="0"/>
          <w:color w:val="000000"/>
          <w:sz w:val="24"/>
          <w:szCs w:val="24"/>
        </w:rPr>
      </w:pPr>
    </w:p>
    <w:p w:rsidR="00212B47" w:rsidRPr="007C0962" w:rsidRDefault="00212B47" w:rsidP="007C0962">
      <w:pPr>
        <w:spacing w:after="0" w:line="360" w:lineRule="auto"/>
        <w:jc w:val="both"/>
        <w:rPr>
          <w:rFonts w:ascii="Arial" w:hAnsi="Arial"/>
          <w:sz w:val="20"/>
          <w:szCs w:val="20"/>
          <w:lang w:eastAsia="es-CO"/>
        </w:rPr>
      </w:pPr>
      <w:r w:rsidRPr="007C0962">
        <w:rPr>
          <w:rFonts w:ascii="Arial" w:hAnsi="Arial"/>
          <w:b/>
          <w:bCs/>
          <w:sz w:val="20"/>
          <w:szCs w:val="20"/>
          <w:lang w:eastAsia="es-CO"/>
        </w:rPr>
        <w:t xml:space="preserve">ARTICULO II </w:t>
      </w:r>
    </w:p>
    <w:p w:rsidR="00212B47" w:rsidRDefault="00212B47" w:rsidP="007C0962">
      <w:pPr>
        <w:spacing w:after="0" w:line="360" w:lineRule="auto"/>
        <w:jc w:val="both"/>
        <w:rPr>
          <w:rFonts w:ascii="Arial" w:hAnsi="Arial"/>
          <w:sz w:val="20"/>
          <w:szCs w:val="20"/>
          <w:lang w:eastAsia="es-CO"/>
        </w:rPr>
      </w:pPr>
      <w:r w:rsidRPr="007C0962">
        <w:rPr>
          <w:rFonts w:ascii="Arial" w:hAnsi="Arial"/>
          <w:sz w:val="20"/>
          <w:szCs w:val="20"/>
          <w:lang w:eastAsia="es-CO"/>
        </w:rPr>
        <w:t xml:space="preserve">Para los efectos de la presente Convención, se considera desaparición forzada la privación de la libertad a una o más personas, cualquiera que fuere su forma, cometida por agentes del Estado o por personas o grupos de personas que actúen con la autorización, el apoyo o la aquiescencia del Estado, seguida de la falta de información o de la negativa a reconocer dicha privación de libertad o de informar sobre el paradero de la persona, con lo cual se impide el ejercicio de los recursos legales y de las garantías procesales pertinentes. </w:t>
      </w:r>
    </w:p>
    <w:p w:rsidR="00212B47" w:rsidRDefault="00212B47" w:rsidP="007C0962">
      <w:pPr>
        <w:spacing w:after="0" w:line="360" w:lineRule="auto"/>
        <w:jc w:val="both"/>
        <w:rPr>
          <w:rFonts w:ascii="Arial" w:hAnsi="Arial"/>
          <w:sz w:val="20"/>
          <w:szCs w:val="20"/>
          <w:lang w:eastAsia="es-CO"/>
        </w:rPr>
      </w:pPr>
    </w:p>
    <w:p w:rsidR="00212B47" w:rsidRDefault="00212B47" w:rsidP="007C0962">
      <w:pPr>
        <w:spacing w:after="0" w:line="360" w:lineRule="auto"/>
        <w:jc w:val="both"/>
        <w:rPr>
          <w:rFonts w:ascii="Arial" w:hAnsi="Arial"/>
          <w:sz w:val="20"/>
          <w:szCs w:val="20"/>
          <w:lang w:eastAsia="es-CO"/>
        </w:rPr>
      </w:pPr>
    </w:p>
    <w:p w:rsidR="00212B47" w:rsidRDefault="00212B47" w:rsidP="007C0962">
      <w:pPr>
        <w:spacing w:after="0" w:line="360" w:lineRule="auto"/>
        <w:jc w:val="both"/>
        <w:rPr>
          <w:rFonts w:ascii="Arial" w:hAnsi="Arial"/>
          <w:sz w:val="20"/>
          <w:szCs w:val="20"/>
          <w:lang w:eastAsia="es-CO"/>
        </w:rPr>
      </w:pPr>
    </w:p>
    <w:p w:rsidR="00212B47" w:rsidRDefault="00212B47" w:rsidP="007C0962">
      <w:pPr>
        <w:spacing w:after="0" w:line="360" w:lineRule="auto"/>
        <w:jc w:val="both"/>
        <w:rPr>
          <w:rFonts w:ascii="Arial" w:hAnsi="Arial"/>
          <w:sz w:val="24"/>
          <w:szCs w:val="24"/>
          <w:lang w:eastAsia="es-CO"/>
        </w:rPr>
      </w:pPr>
      <w:r>
        <w:rPr>
          <w:rFonts w:ascii="Arial" w:hAnsi="Arial"/>
          <w:sz w:val="24"/>
          <w:szCs w:val="24"/>
          <w:lang w:eastAsia="es-CO"/>
        </w:rPr>
        <w:t>Critica Contexto Colombiano:</w:t>
      </w:r>
    </w:p>
    <w:p w:rsidR="00212B47" w:rsidRDefault="00212B47" w:rsidP="007C0962">
      <w:pPr>
        <w:spacing w:after="0" w:line="360" w:lineRule="auto"/>
        <w:jc w:val="both"/>
        <w:rPr>
          <w:rFonts w:ascii="Arial" w:hAnsi="Arial"/>
          <w:sz w:val="24"/>
          <w:szCs w:val="24"/>
          <w:lang w:eastAsia="es-CO"/>
        </w:rPr>
      </w:pPr>
      <w:r>
        <w:rPr>
          <w:rFonts w:ascii="Arial" w:hAnsi="Arial"/>
          <w:sz w:val="24"/>
          <w:szCs w:val="24"/>
          <w:lang w:eastAsia="es-CO"/>
        </w:rPr>
        <w:t>Al parecer el Estado Colombiano en muchas ocasiones incumplió el compromiso emanado por la convención, promoviendo, tolerando, permitiendo y practicando estos actos aberrantes contra la dignidad del fuero interno de la persona humana, tal es el caso de los Falsos Positivos realizado por agentes Estatales, los cuales son legales y legítimos, cometiendo delitos sistemáticos llegando a ser catalogados eventualmente por la ONU de Crímenes de Lesa Humanidad. De la misma forma, son conductas punibles realizadas por Paramilitares en Comunión con Multinacionales para despojar de tierras a sus dueños, en contraposición; las guerrillas Secuestran pues el tipo penal lo describe como la privación de la libertad a personas con fines políticos y económicos de forma delictiva.</w:t>
      </w:r>
    </w:p>
    <w:p w:rsidR="00212B47" w:rsidRDefault="00212B47" w:rsidP="007C0962">
      <w:pPr>
        <w:spacing w:after="0" w:line="360" w:lineRule="auto"/>
        <w:jc w:val="both"/>
        <w:rPr>
          <w:rFonts w:ascii="Arial" w:hAnsi="Arial"/>
          <w:sz w:val="24"/>
          <w:szCs w:val="24"/>
          <w:lang w:eastAsia="es-CO"/>
        </w:rPr>
      </w:pPr>
      <w:r>
        <w:rPr>
          <w:rFonts w:ascii="Arial" w:hAnsi="Arial"/>
          <w:sz w:val="24"/>
          <w:szCs w:val="24"/>
          <w:lang w:eastAsia="es-CO"/>
        </w:rPr>
        <w:t>En consecuencia a la Política de Seguridad Democrática, los militares de alto rango presionaban a sus fuerzas a dar resultados en la lucha contra el terrorismo o conflicto interno propinando graves delitos.</w:t>
      </w:r>
    </w:p>
    <w:p w:rsidR="00212B47" w:rsidRDefault="00212B47" w:rsidP="004C3AA7">
      <w:pPr>
        <w:spacing w:after="0" w:line="360" w:lineRule="auto"/>
        <w:jc w:val="both"/>
        <w:rPr>
          <w:rFonts w:ascii="Arial" w:hAnsi="Arial"/>
          <w:sz w:val="24"/>
          <w:szCs w:val="24"/>
          <w:lang w:eastAsia="es-CO"/>
        </w:rPr>
      </w:pPr>
      <w:r>
        <w:rPr>
          <w:rFonts w:ascii="Arial" w:hAnsi="Arial"/>
          <w:sz w:val="24"/>
          <w:szCs w:val="24"/>
          <w:lang w:eastAsia="es-CO"/>
        </w:rPr>
        <w:t>En el caso del Holocausto del Palacio de Justicia, ocurrió un acontecimiento análogo, en la actualidad; el Coronel en Retiro Plazas Vega</w:t>
      </w:r>
      <w:r>
        <w:rPr>
          <w:rStyle w:val="FootnoteReference"/>
          <w:rFonts w:ascii="Arial" w:hAnsi="Arial" w:cs="Arial"/>
          <w:sz w:val="24"/>
          <w:szCs w:val="24"/>
          <w:lang w:eastAsia="es-CO"/>
        </w:rPr>
        <w:footnoteReference w:id="3"/>
      </w:r>
      <w:r>
        <w:rPr>
          <w:rFonts w:ascii="Arial" w:hAnsi="Arial"/>
          <w:sz w:val="24"/>
          <w:szCs w:val="24"/>
          <w:lang w:eastAsia="es-CO"/>
        </w:rPr>
        <w:t xml:space="preserve"> se encuentra Condenado a 30 años por el delito de desaparición forzada agravada por ser sujete calificado.</w:t>
      </w:r>
    </w:p>
    <w:p w:rsidR="00212B47" w:rsidRDefault="00212B47" w:rsidP="004C3AA7">
      <w:pPr>
        <w:spacing w:after="0" w:line="360" w:lineRule="auto"/>
        <w:jc w:val="both"/>
        <w:rPr>
          <w:rFonts w:ascii="Arial" w:hAnsi="Arial"/>
          <w:sz w:val="24"/>
          <w:szCs w:val="24"/>
          <w:lang w:eastAsia="es-CO"/>
        </w:rPr>
      </w:pPr>
    </w:p>
    <w:p w:rsidR="00212B47" w:rsidRPr="00EA1017" w:rsidRDefault="00212B47" w:rsidP="00EA1017">
      <w:pPr>
        <w:jc w:val="both"/>
        <w:rPr>
          <w:rFonts w:ascii="Arial" w:hAnsi="Arial"/>
          <w:sz w:val="24"/>
          <w:szCs w:val="24"/>
        </w:rPr>
      </w:pPr>
      <w:r w:rsidRPr="002061CE">
        <w:rPr>
          <w:rFonts w:ascii="Arial" w:hAnsi="Arial"/>
          <w:b/>
          <w:bCs/>
          <w:sz w:val="24"/>
          <w:szCs w:val="24"/>
        </w:rPr>
        <w:t>3</w:t>
      </w:r>
      <w:r w:rsidRPr="00EA1017">
        <w:rPr>
          <w:rFonts w:ascii="Arial" w:hAnsi="Arial"/>
          <w:sz w:val="24"/>
          <w:szCs w:val="24"/>
        </w:rPr>
        <w:t xml:space="preserve">. La Resolución 2577 del 2010 promueve el Estatuto de Roma (Corte Penal Internacional) Aprobada en sesión plenaria </w:t>
      </w:r>
    </w:p>
    <w:p w:rsidR="00212B47" w:rsidRDefault="00212B47" w:rsidP="009D1EC3">
      <w:pPr>
        <w:pStyle w:val="Heading2"/>
        <w:rPr>
          <w:rFonts w:ascii="Arial" w:hAnsi="Arial" w:cs="Arial"/>
          <w:sz w:val="24"/>
          <w:szCs w:val="24"/>
        </w:rPr>
      </w:pPr>
    </w:p>
    <w:p w:rsidR="00212B47" w:rsidRDefault="00212B47" w:rsidP="009D1EC3">
      <w:pPr>
        <w:pStyle w:val="Heading2"/>
        <w:rPr>
          <w:rFonts w:ascii="Arial" w:hAnsi="Arial" w:cs="Arial"/>
          <w:sz w:val="24"/>
          <w:szCs w:val="24"/>
        </w:rPr>
      </w:pPr>
    </w:p>
    <w:p w:rsidR="00212B47" w:rsidRDefault="00212B47" w:rsidP="009D1EC3">
      <w:pPr>
        <w:pStyle w:val="Heading2"/>
        <w:rPr>
          <w:rFonts w:ascii="Arial" w:hAnsi="Arial" w:cs="Arial"/>
          <w:sz w:val="24"/>
          <w:szCs w:val="24"/>
        </w:rPr>
      </w:pPr>
    </w:p>
    <w:p w:rsidR="00212B47" w:rsidRDefault="00212B47" w:rsidP="009D1EC3">
      <w:pPr>
        <w:pStyle w:val="Heading2"/>
        <w:rPr>
          <w:rFonts w:ascii="Arial" w:hAnsi="Arial" w:cs="Arial"/>
          <w:sz w:val="24"/>
          <w:szCs w:val="24"/>
        </w:rPr>
      </w:pPr>
    </w:p>
    <w:p w:rsidR="00212B47" w:rsidRDefault="00212B47" w:rsidP="009D1EC3">
      <w:pPr>
        <w:pStyle w:val="Heading2"/>
        <w:rPr>
          <w:rFonts w:ascii="Arial" w:hAnsi="Arial" w:cs="Arial"/>
          <w:sz w:val="24"/>
          <w:szCs w:val="24"/>
        </w:rPr>
      </w:pPr>
    </w:p>
    <w:p w:rsidR="00212B47" w:rsidRDefault="00212B47" w:rsidP="009D1EC3">
      <w:pPr>
        <w:pStyle w:val="Heading2"/>
        <w:rPr>
          <w:rFonts w:ascii="Arial" w:hAnsi="Arial" w:cs="Arial"/>
          <w:sz w:val="24"/>
          <w:szCs w:val="24"/>
        </w:rPr>
      </w:pPr>
    </w:p>
    <w:p w:rsidR="00212B47" w:rsidRDefault="00212B47" w:rsidP="002061CE">
      <w:pPr>
        <w:pStyle w:val="Heading2"/>
        <w:rPr>
          <w:rFonts w:ascii="Arial" w:hAnsi="Arial" w:cs="Arial"/>
          <w:sz w:val="24"/>
          <w:szCs w:val="24"/>
        </w:rPr>
      </w:pPr>
      <w:bookmarkStart w:id="9" w:name="_Toc304368412"/>
      <w:r w:rsidRPr="006666AB">
        <w:rPr>
          <w:rFonts w:ascii="Arial" w:hAnsi="Arial" w:cs="Arial"/>
          <w:sz w:val="24"/>
          <w:szCs w:val="24"/>
        </w:rPr>
        <w:t>Proceso De Integración</w:t>
      </w:r>
      <w:bookmarkEnd w:id="9"/>
    </w:p>
    <w:p w:rsidR="00212B47" w:rsidRDefault="00212B47" w:rsidP="002061CE">
      <w:pPr>
        <w:pStyle w:val="Heading2"/>
        <w:rPr>
          <w:rFonts w:ascii="Arial" w:hAnsi="Arial" w:cs="Arial"/>
          <w:sz w:val="24"/>
          <w:szCs w:val="24"/>
        </w:rPr>
      </w:pPr>
    </w:p>
    <w:p w:rsidR="00212B47" w:rsidRDefault="00212B47" w:rsidP="00456827">
      <w:pPr>
        <w:jc w:val="both"/>
        <w:rPr>
          <w:rFonts w:ascii="Arial" w:hAnsi="Arial"/>
          <w:sz w:val="24"/>
          <w:szCs w:val="24"/>
        </w:rPr>
      </w:pPr>
      <w:r>
        <w:rPr>
          <w:rFonts w:ascii="Arial" w:hAnsi="Arial"/>
          <w:sz w:val="24"/>
          <w:szCs w:val="24"/>
        </w:rPr>
        <w:t>El 24 de julio se celebra el día de la integración latinoamericana, es un sueño para muchos observar la concreción de américa latina como un Bloque Político, Jurídico, Económico  y social, los procesos identitarios son comunes, hablamos un mismo idioma y paulatinamente se ha abolido los aranceles y barreras comerciales</w:t>
      </w:r>
    </w:p>
    <w:p w:rsidR="00212B47" w:rsidRDefault="00212B47" w:rsidP="00456827">
      <w:pPr>
        <w:jc w:val="both"/>
        <w:rPr>
          <w:rFonts w:ascii="Arial" w:hAnsi="Arial"/>
          <w:sz w:val="24"/>
          <w:szCs w:val="24"/>
        </w:rPr>
      </w:pPr>
      <w:r>
        <w:rPr>
          <w:rFonts w:ascii="Arial" w:hAnsi="Arial"/>
          <w:sz w:val="24"/>
          <w:szCs w:val="24"/>
        </w:rPr>
        <w:t>Dentro de la Pirámide de integración, faltan etapas para ser un bloque competitivo globalmente, pero se están empezando a crear subregiones económicas (ALBA, Mercosur, CAM) propulsoras de un futuro inminente hacia la libre circulación.</w:t>
      </w:r>
    </w:p>
    <w:p w:rsidR="00212B47" w:rsidRDefault="00212B47" w:rsidP="00456827">
      <w:pPr>
        <w:jc w:val="both"/>
        <w:rPr>
          <w:rFonts w:ascii="Arial" w:hAnsi="Arial"/>
          <w:sz w:val="24"/>
          <w:szCs w:val="24"/>
        </w:rPr>
      </w:pPr>
      <w:r>
        <w:rPr>
          <w:rFonts w:ascii="Arial" w:hAnsi="Arial"/>
          <w:sz w:val="24"/>
          <w:szCs w:val="24"/>
        </w:rPr>
        <w:t>En el ámbito Jurídico hay lucha contra el narcotráfico, contra el “terrorismo” y coordinación del derecho comparado en las legislaciones.</w:t>
      </w:r>
    </w:p>
    <w:p w:rsidR="00212B47" w:rsidRDefault="00212B47" w:rsidP="00456827">
      <w:pPr>
        <w:jc w:val="both"/>
        <w:rPr>
          <w:rFonts w:ascii="Arial" w:hAnsi="Arial"/>
          <w:sz w:val="24"/>
          <w:szCs w:val="24"/>
        </w:rPr>
      </w:pPr>
      <w:r>
        <w:rPr>
          <w:rFonts w:ascii="Arial" w:hAnsi="Arial"/>
          <w:sz w:val="24"/>
          <w:szCs w:val="24"/>
        </w:rPr>
        <w:t>Quizá el sector político es el que más difiere de la composición entre estados, se cree hoy en día, estar en una transición o revelación de los pueblos del hemisferio sur-sur, Implementado un modelo económico socialista (Por ello las subregiones económicas) y mutando las posturas neoliberales impuestas por el país del Norte (Miembro de la OEA); en contraposición todavía hay estados capitalistas y fieles a los mandatos de EEUU.</w:t>
      </w:r>
    </w:p>
    <w:p w:rsidR="00212B47" w:rsidRDefault="00212B47" w:rsidP="00456827">
      <w:pPr>
        <w:jc w:val="both"/>
        <w:rPr>
          <w:rFonts w:ascii="Arial" w:hAnsi="Arial"/>
          <w:sz w:val="24"/>
          <w:szCs w:val="24"/>
        </w:rPr>
      </w:pPr>
      <w:r>
        <w:rPr>
          <w:rFonts w:ascii="Arial" w:hAnsi="Arial"/>
          <w:sz w:val="24"/>
          <w:szCs w:val="24"/>
        </w:rPr>
        <w:t>Estas dos visiones han atrasado el desarrollo de los Pueblos, se ha discutido deliberadamente la injerencia de Estados Unidos en América Latina, se aduce que este es el ocasionador de las implosiones internas; recíprocamente, Colombia atribuye a otros países ser cómplices de ilegales consintiendo salvaguardarlos en su territorio.</w:t>
      </w:r>
    </w:p>
    <w:p w:rsidR="00212B47" w:rsidRDefault="00212B47" w:rsidP="00456827">
      <w:pPr>
        <w:jc w:val="both"/>
        <w:rPr>
          <w:rFonts w:ascii="Arial" w:hAnsi="Arial"/>
          <w:sz w:val="24"/>
          <w:szCs w:val="24"/>
        </w:rPr>
      </w:pPr>
      <w:r>
        <w:rPr>
          <w:rFonts w:ascii="Arial" w:hAnsi="Arial"/>
          <w:sz w:val="24"/>
          <w:szCs w:val="24"/>
        </w:rPr>
        <w:t>La polémica todavía continua, mientras continuemos con las discrepancias e irrespeto por la diferencia, será difícil la unión hemisférica. Es obvia la cercanía geopolítica y estratégica de EE.UU, pero la autodeterminación de los pueblos está tomando auge y es de esperar en un futuro la unificación de los mercados, de la moneda y sobre todo la tolerancia recíproca y correlativa sin tener en cuenta la ideología política.</w:t>
      </w:r>
    </w:p>
    <w:p w:rsidR="00212B47" w:rsidRPr="009D1EC3" w:rsidRDefault="00212B47" w:rsidP="00456827">
      <w:pPr>
        <w:jc w:val="both"/>
        <w:rPr>
          <w:rFonts w:ascii="Arial" w:hAnsi="Arial"/>
          <w:sz w:val="24"/>
          <w:szCs w:val="24"/>
        </w:rPr>
      </w:pPr>
      <w:r>
        <w:rPr>
          <w:rFonts w:ascii="Arial" w:hAnsi="Arial"/>
          <w:sz w:val="24"/>
          <w:szCs w:val="24"/>
        </w:rPr>
        <w:t>Si se logra la estabilidad y gobernabilidad, habrían mecanismos o estrategias de desarrollo común, mayor resolución de conflictos regionales y estaríamos al advenimiento de políticas modernas.</w:t>
      </w:r>
    </w:p>
    <w:p w:rsidR="00212B47" w:rsidRDefault="00212B47" w:rsidP="006666AB">
      <w:pPr>
        <w:pStyle w:val="Heading2"/>
        <w:rPr>
          <w:rFonts w:ascii="Arial" w:hAnsi="Arial" w:cs="Arial"/>
          <w:sz w:val="24"/>
          <w:szCs w:val="24"/>
        </w:rPr>
      </w:pPr>
      <w:bookmarkStart w:id="10" w:name="_Toc304368413"/>
    </w:p>
    <w:p w:rsidR="00212B47" w:rsidRDefault="00212B47" w:rsidP="006666AB">
      <w:pPr>
        <w:pStyle w:val="Heading2"/>
        <w:rPr>
          <w:rFonts w:ascii="Arial" w:hAnsi="Arial" w:cs="Arial"/>
          <w:sz w:val="24"/>
          <w:szCs w:val="24"/>
        </w:rPr>
      </w:pPr>
    </w:p>
    <w:p w:rsidR="00212B47" w:rsidRDefault="00212B47" w:rsidP="006666AB">
      <w:pPr>
        <w:pStyle w:val="Heading2"/>
        <w:rPr>
          <w:rFonts w:ascii="Arial" w:hAnsi="Arial" w:cs="Arial"/>
          <w:sz w:val="24"/>
          <w:szCs w:val="24"/>
        </w:rPr>
      </w:pPr>
    </w:p>
    <w:p w:rsidR="00212B47" w:rsidRDefault="00212B47" w:rsidP="006666AB">
      <w:pPr>
        <w:pStyle w:val="Heading2"/>
        <w:rPr>
          <w:rFonts w:ascii="Arial" w:hAnsi="Arial" w:cs="Arial"/>
          <w:sz w:val="24"/>
          <w:szCs w:val="24"/>
        </w:rPr>
      </w:pPr>
    </w:p>
    <w:p w:rsidR="00212B47" w:rsidRDefault="00212B47" w:rsidP="006666AB">
      <w:pPr>
        <w:pStyle w:val="Heading2"/>
        <w:rPr>
          <w:rFonts w:ascii="Arial" w:hAnsi="Arial" w:cs="Arial"/>
          <w:sz w:val="24"/>
          <w:szCs w:val="24"/>
        </w:rPr>
      </w:pPr>
      <w:r w:rsidRPr="006666AB">
        <w:rPr>
          <w:rFonts w:ascii="Arial" w:hAnsi="Arial" w:cs="Arial"/>
          <w:sz w:val="24"/>
          <w:szCs w:val="24"/>
        </w:rPr>
        <w:t>Caso Cuba</w:t>
      </w:r>
      <w:bookmarkEnd w:id="10"/>
    </w:p>
    <w:p w:rsidR="00212B47" w:rsidRPr="006666AB" w:rsidRDefault="00212B47" w:rsidP="006666AB">
      <w:pPr>
        <w:pStyle w:val="Heading2"/>
        <w:rPr>
          <w:rFonts w:ascii="Arial" w:hAnsi="Arial" w:cs="Arial"/>
          <w:sz w:val="24"/>
          <w:szCs w:val="24"/>
        </w:rPr>
      </w:pPr>
    </w:p>
    <w:p w:rsidR="00212B47" w:rsidRPr="00EA1017" w:rsidRDefault="00212B47" w:rsidP="00EA1017">
      <w:pPr>
        <w:jc w:val="both"/>
        <w:rPr>
          <w:rFonts w:ascii="Arial" w:hAnsi="Arial"/>
          <w:sz w:val="24"/>
          <w:szCs w:val="24"/>
        </w:rPr>
      </w:pPr>
      <w:r w:rsidRPr="00EA1017">
        <w:rPr>
          <w:rFonts w:ascii="Arial" w:hAnsi="Arial"/>
          <w:sz w:val="24"/>
          <w:szCs w:val="24"/>
        </w:rPr>
        <w:t>En 1962 fue expulsada  Cuba del sistema interamericano señalando su sistema económico, motivado por la incompatibilidad con los Estados miembros.</w:t>
      </w:r>
    </w:p>
    <w:p w:rsidR="00212B47" w:rsidRPr="00EA1017" w:rsidRDefault="00212B47" w:rsidP="00EA1017">
      <w:pPr>
        <w:jc w:val="both"/>
        <w:rPr>
          <w:rFonts w:ascii="Arial" w:hAnsi="Arial"/>
          <w:sz w:val="24"/>
          <w:szCs w:val="24"/>
        </w:rPr>
      </w:pPr>
      <w:r w:rsidRPr="00EA1017">
        <w:rPr>
          <w:rFonts w:ascii="Arial" w:hAnsi="Arial"/>
          <w:sz w:val="24"/>
          <w:szCs w:val="24"/>
        </w:rPr>
        <w:t>Según la resolución VI (1962) Punta del Este, Uruguay; se excluye por estar alineado al pensamiento Marxista-Leninista.</w:t>
      </w:r>
    </w:p>
    <w:p w:rsidR="00212B47" w:rsidRPr="00EA1017" w:rsidRDefault="00212B47" w:rsidP="00EA1017">
      <w:pPr>
        <w:jc w:val="both"/>
        <w:rPr>
          <w:rFonts w:ascii="Arial" w:hAnsi="Arial"/>
          <w:sz w:val="24"/>
          <w:szCs w:val="24"/>
        </w:rPr>
      </w:pPr>
      <w:r w:rsidRPr="00EA1017">
        <w:rPr>
          <w:rFonts w:ascii="Arial" w:hAnsi="Arial"/>
          <w:sz w:val="24"/>
          <w:szCs w:val="24"/>
        </w:rPr>
        <w:t>En el 2009 se abrió  las puertas a Cuba, debido el alejamiento de Guerra Fría, este levantamiento tiene tintes políticos, por tanto obsoleto si se argumenta desde el reflejo de las relaciones de la Isla con EE.UU.</w:t>
      </w:r>
    </w:p>
    <w:p w:rsidR="00212B47" w:rsidRPr="00EA1017" w:rsidRDefault="00212B47" w:rsidP="00EA1017">
      <w:pPr>
        <w:jc w:val="both"/>
        <w:rPr>
          <w:rFonts w:ascii="Arial" w:hAnsi="Arial"/>
          <w:sz w:val="24"/>
          <w:szCs w:val="24"/>
        </w:rPr>
      </w:pPr>
      <w:r w:rsidRPr="00EA1017">
        <w:rPr>
          <w:rFonts w:ascii="Arial" w:hAnsi="Arial"/>
          <w:sz w:val="24"/>
          <w:szCs w:val="24"/>
        </w:rPr>
        <w:t>Cuba ha desistido a la Propuesta, replica no tener ningún tipo de interés con el órgano, al parecer, por Dignidad Nacional.</w:t>
      </w:r>
    </w:p>
    <w:p w:rsidR="00212B47" w:rsidRDefault="00212B47" w:rsidP="006666AB">
      <w:pPr>
        <w:pStyle w:val="Heading2"/>
        <w:rPr>
          <w:rFonts w:ascii="Arial" w:hAnsi="Arial" w:cs="Arial"/>
          <w:sz w:val="24"/>
          <w:szCs w:val="24"/>
        </w:rPr>
      </w:pPr>
      <w:bookmarkStart w:id="11" w:name="_Toc304368414"/>
    </w:p>
    <w:p w:rsidR="00212B47" w:rsidRDefault="00212B47" w:rsidP="006666AB">
      <w:pPr>
        <w:pStyle w:val="Heading2"/>
        <w:rPr>
          <w:rFonts w:ascii="Arial" w:hAnsi="Arial" w:cs="Arial"/>
          <w:sz w:val="24"/>
          <w:szCs w:val="24"/>
        </w:rPr>
      </w:pPr>
      <w:r>
        <w:rPr>
          <w:rFonts w:ascii="Arial" w:hAnsi="Arial" w:cs="Arial"/>
          <w:sz w:val="24"/>
          <w:szCs w:val="24"/>
        </w:rPr>
        <w:t>Colombia y la OEA</w:t>
      </w:r>
      <w:bookmarkEnd w:id="11"/>
    </w:p>
    <w:p w:rsidR="00212B47" w:rsidRDefault="00212B47" w:rsidP="00F47825">
      <w:pPr>
        <w:pStyle w:val="Default"/>
      </w:pPr>
    </w:p>
    <w:p w:rsidR="00212B47" w:rsidRDefault="00212B47" w:rsidP="00F47825">
      <w:pPr>
        <w:pStyle w:val="Default"/>
        <w:tabs>
          <w:tab w:val="right" w:pos="9405"/>
        </w:tabs>
        <w:jc w:val="both"/>
        <w:rPr>
          <w:rFonts w:ascii="Arial" w:hAnsi="Arial" w:cs="Arial"/>
        </w:rPr>
      </w:pPr>
      <w:r>
        <w:rPr>
          <w:rFonts w:ascii="Arial" w:hAnsi="Arial" w:cs="Arial"/>
        </w:rPr>
        <w:t>CASO MANUEL CEPEDA VARGAS</w:t>
      </w:r>
    </w:p>
    <w:p w:rsidR="00212B47" w:rsidRPr="00F47825" w:rsidRDefault="00212B47" w:rsidP="00F47825">
      <w:pPr>
        <w:pStyle w:val="Default"/>
        <w:tabs>
          <w:tab w:val="right" w:pos="9405"/>
        </w:tabs>
        <w:jc w:val="both"/>
        <w:rPr>
          <w:rFonts w:ascii="Arial" w:hAnsi="Arial" w:cs="Arial"/>
        </w:rPr>
      </w:pPr>
      <w:r w:rsidRPr="00F47825">
        <w:rPr>
          <w:rFonts w:ascii="Arial" w:hAnsi="Arial" w:cs="Arial"/>
        </w:rPr>
        <w:t xml:space="preserve">La Comisión Interamericana solicita a la Corte </w:t>
      </w:r>
      <w:r>
        <w:rPr>
          <w:rFonts w:ascii="Arial" w:hAnsi="Arial" w:cs="Arial"/>
        </w:rPr>
        <w:t>que ordene al Estado colombiano:</w:t>
      </w:r>
    </w:p>
    <w:p w:rsidR="00212B47" w:rsidRPr="00F47825" w:rsidRDefault="00212B47" w:rsidP="00F47825">
      <w:pPr>
        <w:pStyle w:val="Default"/>
        <w:jc w:val="both"/>
        <w:rPr>
          <w:rFonts w:ascii="Arial" w:hAnsi="Arial" w:cs="Arial"/>
        </w:rPr>
      </w:pPr>
    </w:p>
    <w:p w:rsidR="00212B47" w:rsidRPr="00F47825" w:rsidRDefault="00212B47" w:rsidP="00F47825">
      <w:pPr>
        <w:pStyle w:val="Default"/>
        <w:spacing w:after="120"/>
        <w:ind w:left="1080" w:hanging="360"/>
        <w:jc w:val="both"/>
        <w:rPr>
          <w:rFonts w:ascii="Arial" w:hAnsi="Arial" w:cs="Arial"/>
        </w:rPr>
      </w:pPr>
      <w:r w:rsidRPr="00F47825">
        <w:rPr>
          <w:rFonts w:ascii="Arial" w:hAnsi="Arial" w:cs="Arial"/>
        </w:rPr>
        <w:t xml:space="preserve">a) realizar una investigación imparcial y exhaustiva con el fin de juzgar y sancionar a todos los responsables materiales e intelectuales de la ejecución extrajudicial del Senador Manuel Cepeda Vargas; </w:t>
      </w:r>
    </w:p>
    <w:p w:rsidR="00212B47" w:rsidRPr="00F47825" w:rsidRDefault="00212B47" w:rsidP="00F47825">
      <w:pPr>
        <w:pStyle w:val="Default"/>
        <w:spacing w:after="120"/>
        <w:ind w:left="1080" w:hanging="360"/>
        <w:jc w:val="both"/>
        <w:rPr>
          <w:rFonts w:ascii="Arial" w:hAnsi="Arial" w:cs="Arial"/>
        </w:rPr>
      </w:pPr>
      <w:r w:rsidRPr="00F47825">
        <w:rPr>
          <w:rFonts w:ascii="Arial" w:hAnsi="Arial" w:cs="Arial"/>
        </w:rPr>
        <w:t xml:space="preserve">b) adoptar medidas para garantizar la seguridad de los familiares de la víctima y prevenir que deban desplazarse o exiliarse nuevamente a consecuencia de los actos de hostigamiento y persecución en su contra </w:t>
      </w:r>
    </w:p>
    <w:p w:rsidR="00212B47" w:rsidRPr="00F47825" w:rsidRDefault="00212B47" w:rsidP="00F47825">
      <w:pPr>
        <w:pStyle w:val="Default"/>
        <w:spacing w:after="120"/>
        <w:ind w:left="1080" w:hanging="360"/>
        <w:jc w:val="both"/>
        <w:rPr>
          <w:rFonts w:ascii="Arial" w:hAnsi="Arial" w:cs="Arial"/>
        </w:rPr>
      </w:pPr>
      <w:r w:rsidRPr="00F47825">
        <w:rPr>
          <w:rFonts w:ascii="Arial" w:hAnsi="Arial" w:cs="Arial"/>
        </w:rPr>
        <w:t xml:space="preserve">c) llevar a cabo actos tendientes a la recuperación de la memoria histórica del Senador Manuel Cepeda Vargas en su condición de político y comunicador social; </w:t>
      </w:r>
    </w:p>
    <w:p w:rsidR="00212B47" w:rsidRPr="00F47825" w:rsidRDefault="00212B47" w:rsidP="00F47825">
      <w:pPr>
        <w:pStyle w:val="Default"/>
        <w:spacing w:after="120"/>
        <w:ind w:left="1080" w:hanging="360"/>
        <w:jc w:val="both"/>
        <w:rPr>
          <w:rFonts w:ascii="Arial" w:hAnsi="Arial" w:cs="Arial"/>
        </w:rPr>
      </w:pPr>
      <w:r w:rsidRPr="00F47825">
        <w:rPr>
          <w:rFonts w:ascii="Arial" w:hAnsi="Arial" w:cs="Arial"/>
        </w:rPr>
        <w:t xml:space="preserve">d) adoptar medidas jurídicas, administrativas y de otra índole necesarias para evitar la reiteración de hechos similares a aquellos que son materia del presente caso, en especial, la adopción en forma prioritaria de una política de erradicación de la violencia por motivos de ideología política en general y contra los miembros de la UP en particular, que incluya medidas de prevención y protección; </w:t>
      </w:r>
    </w:p>
    <w:p w:rsidR="00212B47" w:rsidRPr="00F47825" w:rsidRDefault="00212B47" w:rsidP="00F47825">
      <w:pPr>
        <w:pStyle w:val="Default"/>
        <w:spacing w:after="120"/>
        <w:ind w:left="1080" w:hanging="360"/>
        <w:jc w:val="both"/>
        <w:rPr>
          <w:rFonts w:ascii="Arial" w:hAnsi="Arial" w:cs="Arial"/>
        </w:rPr>
      </w:pPr>
      <w:r w:rsidRPr="00F47825">
        <w:rPr>
          <w:rFonts w:ascii="Arial" w:hAnsi="Arial" w:cs="Arial"/>
        </w:rPr>
        <w:t xml:space="preserve">e) adoptar medidas de rehabilitación a favor de los familiares de la víctima; </w:t>
      </w:r>
    </w:p>
    <w:p w:rsidR="00212B47" w:rsidRDefault="00212B47" w:rsidP="009D3FF7">
      <w:pPr>
        <w:pStyle w:val="Default"/>
        <w:spacing w:after="120"/>
        <w:ind w:left="1080" w:hanging="360"/>
        <w:jc w:val="both"/>
        <w:rPr>
          <w:rFonts w:ascii="Arial" w:hAnsi="Arial" w:cs="Arial"/>
        </w:rPr>
      </w:pPr>
      <w:r w:rsidRPr="00F47825">
        <w:rPr>
          <w:rFonts w:ascii="Arial" w:hAnsi="Arial" w:cs="Arial"/>
        </w:rPr>
        <w:t xml:space="preserve">f) reparar a los familiares del Senador Manuel Cepeda Vargas por el daño material e inmaterial sufrido </w:t>
      </w:r>
    </w:p>
    <w:p w:rsidR="00212B47" w:rsidRDefault="00212B47" w:rsidP="009D3FF7">
      <w:pPr>
        <w:pStyle w:val="Default"/>
        <w:spacing w:after="120"/>
        <w:ind w:left="1080" w:hanging="360"/>
        <w:jc w:val="both"/>
        <w:rPr>
          <w:rFonts w:ascii="Arial" w:hAnsi="Arial" w:cs="Arial"/>
        </w:rPr>
      </w:pPr>
    </w:p>
    <w:p w:rsidR="00212B47" w:rsidRDefault="00212B47" w:rsidP="009D3FF7">
      <w:pPr>
        <w:pStyle w:val="Default"/>
        <w:spacing w:after="120"/>
        <w:ind w:left="1080" w:hanging="360"/>
        <w:jc w:val="both"/>
        <w:rPr>
          <w:rFonts w:ascii="Arial" w:hAnsi="Arial" w:cs="Arial"/>
        </w:rPr>
      </w:pPr>
      <w:r>
        <w:rPr>
          <w:rFonts w:ascii="Arial" w:hAnsi="Arial" w:cs="Arial"/>
        </w:rPr>
        <w:t>EJECUCIONES EXTRAJUDICIALES (INFORME ANUAL 2010)</w:t>
      </w:r>
    </w:p>
    <w:p w:rsidR="00212B47" w:rsidRDefault="00212B47" w:rsidP="009D3FF7">
      <w:pPr>
        <w:spacing w:after="0" w:line="240" w:lineRule="auto"/>
        <w:jc w:val="both"/>
        <w:rPr>
          <w:rFonts w:ascii="Univers" w:hAnsi="Univers"/>
          <w:sz w:val="20"/>
          <w:szCs w:val="20"/>
          <w:lang w:val="es-ES_tradnl"/>
        </w:rPr>
      </w:pPr>
    </w:p>
    <w:p w:rsidR="00212B47" w:rsidRPr="009D3FF7" w:rsidRDefault="00212B47" w:rsidP="005710A5">
      <w:pPr>
        <w:spacing w:after="0" w:line="240" w:lineRule="auto"/>
        <w:jc w:val="both"/>
        <w:rPr>
          <w:rFonts w:ascii="Arial" w:hAnsi="Arial"/>
          <w:sz w:val="24"/>
          <w:szCs w:val="24"/>
          <w:lang w:val="es-ES_tradnl"/>
        </w:rPr>
      </w:pPr>
      <w:r w:rsidRPr="009D3FF7">
        <w:rPr>
          <w:rFonts w:ascii="Arial" w:hAnsi="Arial"/>
          <w:sz w:val="24"/>
          <w:szCs w:val="24"/>
          <w:lang w:val="es-ES_tradnl"/>
        </w:rPr>
        <w:t>En cuanto a las cifras disponibles sobre muertes en el marco del conflicto, el “Observatorio de derechos humanos y del derecho internacional humanitario” de la Vicepresidencia de la República –conforme a su metodología— señala que entre enero y octubre de 2010 se habrían producido 12.811 homicidios.  Asimismo, indica que durante el mismo período se habrían producido 32 masacres con 153 víctimas</w:t>
      </w:r>
      <w:r w:rsidRPr="009D3FF7">
        <w:rPr>
          <w:rStyle w:val="FootnoteReference"/>
          <w:rFonts w:ascii="Arial" w:hAnsi="Arial" w:cs="Arial"/>
          <w:sz w:val="24"/>
          <w:szCs w:val="24"/>
          <w:lang w:val="es-ES_tradnl"/>
        </w:rPr>
        <w:footnoteReference w:id="4"/>
      </w:r>
      <w:r w:rsidRPr="009D3FF7">
        <w:rPr>
          <w:rFonts w:ascii="Arial" w:hAnsi="Arial"/>
          <w:sz w:val="24"/>
          <w:szCs w:val="24"/>
          <w:lang w:val="es-ES_tradnl"/>
        </w:rPr>
        <w:t>.  Por su parte el CINEP –siguiendo su propia metodología de compilación y presentación de cifras— indica que entre enero y junio de 2010 se habrían producido 192 ejecuciones extrajudiciales</w:t>
      </w:r>
      <w:r w:rsidRPr="009D3FF7">
        <w:rPr>
          <w:rStyle w:val="FootnoteReference"/>
          <w:rFonts w:ascii="Arial" w:hAnsi="Arial" w:cs="Arial"/>
          <w:sz w:val="24"/>
          <w:szCs w:val="24"/>
          <w:lang w:val="es-ES_tradnl"/>
        </w:rPr>
        <w:footnoteReference w:id="5"/>
      </w:r>
      <w:r w:rsidRPr="009D3FF7">
        <w:rPr>
          <w:rFonts w:ascii="Arial" w:hAnsi="Arial"/>
          <w:sz w:val="24"/>
          <w:szCs w:val="24"/>
          <w:lang w:val="es-ES_tradnl"/>
        </w:rPr>
        <w:t>; 19 homicidios intencionales de personas protegidas y 11 desapariciones forzadas.  Indica que a junio de 2010 se han registrado seis episodios de “falsos positivos” que se proyectan en 11 víctimas de ejecución extrajudicial y 21 episodios de años anteriores con 29 víctimas que no habían sido registradas anteriormente.  La CIDH estima pertinente citar en su informe a ambas fuentes a pesar de las amplias discrepancias metodológicas entre ellas, a fin de dar cuenta del panorama presentado tanto por fuentes oficiales como de la sociedad civil, como es su práctica consistente.</w:t>
      </w:r>
    </w:p>
    <w:p w:rsidR="00212B47" w:rsidRPr="009D3FF7" w:rsidRDefault="00212B47" w:rsidP="009D3FF7">
      <w:pPr>
        <w:pStyle w:val="Default"/>
        <w:spacing w:after="120"/>
        <w:ind w:left="1080" w:hanging="360"/>
        <w:jc w:val="both"/>
        <w:rPr>
          <w:rFonts w:ascii="Arial" w:hAnsi="Arial" w:cs="Arial"/>
          <w:lang w:val="es-ES_tradnl"/>
        </w:rPr>
      </w:pPr>
    </w:p>
    <w:p w:rsidR="00212B47" w:rsidRDefault="00212B47" w:rsidP="006666AB">
      <w:pPr>
        <w:pStyle w:val="Heading2"/>
        <w:rPr>
          <w:rFonts w:ascii="Arial" w:hAnsi="Arial" w:cs="Arial"/>
          <w:sz w:val="24"/>
          <w:szCs w:val="24"/>
        </w:rPr>
      </w:pPr>
      <w:bookmarkStart w:id="12" w:name="_Toc304368415"/>
      <w:r w:rsidRPr="006666AB">
        <w:rPr>
          <w:rFonts w:ascii="Arial" w:hAnsi="Arial" w:cs="Arial"/>
          <w:sz w:val="24"/>
          <w:szCs w:val="24"/>
        </w:rPr>
        <w:t>Caso Honduras</w:t>
      </w:r>
      <w:bookmarkEnd w:id="12"/>
    </w:p>
    <w:p w:rsidR="00212B47" w:rsidRDefault="00212B47" w:rsidP="006666AB">
      <w:pPr>
        <w:pStyle w:val="Heading2"/>
        <w:rPr>
          <w:rFonts w:ascii="Arial" w:hAnsi="Arial" w:cs="Arial"/>
          <w:sz w:val="24"/>
          <w:szCs w:val="24"/>
        </w:rPr>
      </w:pPr>
    </w:p>
    <w:p w:rsidR="00212B47" w:rsidRDefault="00212B47" w:rsidP="00AC551B">
      <w:pPr>
        <w:jc w:val="both"/>
        <w:rPr>
          <w:rFonts w:ascii="Arial" w:hAnsi="Arial"/>
          <w:sz w:val="24"/>
          <w:szCs w:val="24"/>
        </w:rPr>
      </w:pPr>
      <w:r>
        <w:rPr>
          <w:rFonts w:ascii="Arial" w:hAnsi="Arial"/>
          <w:sz w:val="24"/>
          <w:szCs w:val="24"/>
        </w:rPr>
        <w:t>A consecuencia del Golpe de Estado propinado a Manuel Zelaya en el año 2009, la OEA de manera extraordinaria suspende la participación de Honduras en las discusiones de la Entidad. La OEA se acoge al orden Constitucional y legitimo irrumpido por detractores al gobierno oficial.</w:t>
      </w:r>
    </w:p>
    <w:p w:rsidR="00212B47" w:rsidRDefault="00212B47" w:rsidP="00AC551B">
      <w:pPr>
        <w:jc w:val="both"/>
        <w:rPr>
          <w:rFonts w:ascii="Arial" w:hAnsi="Arial"/>
          <w:sz w:val="24"/>
          <w:szCs w:val="24"/>
        </w:rPr>
      </w:pPr>
      <w:r>
        <w:rPr>
          <w:rFonts w:ascii="Arial" w:hAnsi="Arial"/>
          <w:sz w:val="24"/>
          <w:szCs w:val="24"/>
        </w:rPr>
        <w:t>La crisis tuvo consecuencias económicas y sociales, por lo cual activaron el Estado de Sitio, muchas veces ocasionando alteración del orden público e incurriendo en delitos sobre los derechos Humanos.</w:t>
      </w:r>
    </w:p>
    <w:p w:rsidR="00212B47" w:rsidRDefault="00212B47" w:rsidP="00AC551B">
      <w:pPr>
        <w:jc w:val="both"/>
        <w:rPr>
          <w:rFonts w:ascii="Arial" w:hAnsi="Arial"/>
          <w:sz w:val="24"/>
          <w:szCs w:val="24"/>
        </w:rPr>
      </w:pPr>
      <w:r>
        <w:rPr>
          <w:rFonts w:ascii="Arial" w:hAnsi="Arial"/>
          <w:sz w:val="24"/>
          <w:szCs w:val="24"/>
        </w:rPr>
        <w:t>En esa situación se criticó al Secretario General Insulza, por la falta de medidas y precauciones en la toma de Decisiones, mostrando la falta de oportunismo y la ineficacia del Órgano Continental.</w:t>
      </w:r>
    </w:p>
    <w:p w:rsidR="00212B47" w:rsidRPr="00AC551B" w:rsidRDefault="00212B47" w:rsidP="00806851">
      <w:pPr>
        <w:jc w:val="both"/>
        <w:rPr>
          <w:rFonts w:ascii="Arial" w:hAnsi="Arial"/>
          <w:sz w:val="24"/>
          <w:szCs w:val="24"/>
        </w:rPr>
      </w:pPr>
      <w:r>
        <w:rPr>
          <w:rFonts w:ascii="Arial" w:hAnsi="Arial"/>
          <w:sz w:val="24"/>
          <w:szCs w:val="24"/>
        </w:rPr>
        <w:t>Tal realidad cambio para Honduras, adhiriéndose de nuevo al Ente y en proceso de una Reconciliación nacional. En reincorporación a la democracia participo el actual Presidente Lobo, y como mediadores los presidentes de Colombia y Venezuela. Este proceso se llevó a cabo en Cartagena de Indias, Colombia.</w:t>
      </w:r>
    </w:p>
    <w:p w:rsidR="00212B47" w:rsidRDefault="00212B47" w:rsidP="006666AB">
      <w:pPr>
        <w:pStyle w:val="Heading2"/>
        <w:rPr>
          <w:rFonts w:ascii="Arial" w:hAnsi="Arial" w:cs="Arial"/>
          <w:sz w:val="24"/>
          <w:szCs w:val="24"/>
        </w:rPr>
      </w:pPr>
      <w:bookmarkStart w:id="13" w:name="_Toc304368416"/>
    </w:p>
    <w:p w:rsidR="00212B47" w:rsidRDefault="00212B47" w:rsidP="006666AB">
      <w:pPr>
        <w:pStyle w:val="Heading2"/>
        <w:rPr>
          <w:rFonts w:ascii="Arial" w:hAnsi="Arial" w:cs="Arial"/>
          <w:sz w:val="24"/>
          <w:szCs w:val="24"/>
        </w:rPr>
      </w:pPr>
      <w:r>
        <w:rPr>
          <w:rFonts w:ascii="Arial" w:hAnsi="Arial" w:cs="Arial"/>
          <w:sz w:val="24"/>
          <w:szCs w:val="24"/>
        </w:rPr>
        <w:t>DEFECTOS DE LA OEA</w:t>
      </w:r>
      <w:bookmarkEnd w:id="13"/>
    </w:p>
    <w:p w:rsidR="00212B47" w:rsidRPr="006666AB" w:rsidRDefault="00212B47" w:rsidP="006666AB">
      <w:pPr>
        <w:pStyle w:val="Heading2"/>
        <w:rPr>
          <w:rFonts w:ascii="Arial" w:hAnsi="Arial" w:cs="Arial"/>
          <w:sz w:val="24"/>
          <w:szCs w:val="24"/>
        </w:rPr>
      </w:pPr>
    </w:p>
    <w:p w:rsidR="00212B47" w:rsidRPr="00EA1017" w:rsidRDefault="00212B47" w:rsidP="00EA1017">
      <w:pPr>
        <w:jc w:val="both"/>
        <w:rPr>
          <w:rFonts w:ascii="Arial" w:hAnsi="Arial"/>
          <w:sz w:val="24"/>
          <w:szCs w:val="24"/>
        </w:rPr>
      </w:pPr>
      <w:r w:rsidRPr="00EA1017">
        <w:rPr>
          <w:rFonts w:ascii="Arial" w:hAnsi="Arial"/>
          <w:sz w:val="24"/>
          <w:szCs w:val="24"/>
        </w:rPr>
        <w:t>Es un organismo duramente criticado por su ineficacia desde su creación y con una grave crisis económica desde hace décadas.</w:t>
      </w:r>
    </w:p>
    <w:p w:rsidR="00212B47" w:rsidRPr="00EA1017" w:rsidRDefault="00212B47" w:rsidP="00EA1017">
      <w:pPr>
        <w:jc w:val="both"/>
        <w:rPr>
          <w:rFonts w:ascii="Arial" w:hAnsi="Arial"/>
          <w:sz w:val="24"/>
          <w:szCs w:val="24"/>
        </w:rPr>
      </w:pPr>
      <w:r w:rsidRPr="00EA1017">
        <w:rPr>
          <w:rFonts w:ascii="Arial" w:hAnsi="Arial"/>
          <w:sz w:val="24"/>
          <w:szCs w:val="24"/>
        </w:rPr>
        <w:t>Se cree dentro de la diplomacia que la Unasur ha dirimido más controversias en menos tiempo que la OEA, especialmente en materia de Seguridad, Inteligencia y Defensa.</w:t>
      </w:r>
    </w:p>
    <w:p w:rsidR="00212B47" w:rsidRPr="00EA1017" w:rsidRDefault="00212B47" w:rsidP="00EA1017">
      <w:pPr>
        <w:jc w:val="both"/>
        <w:rPr>
          <w:rFonts w:ascii="Arial" w:hAnsi="Arial"/>
          <w:color w:val="000000"/>
          <w:sz w:val="24"/>
          <w:szCs w:val="24"/>
        </w:rPr>
      </w:pPr>
      <w:r w:rsidRPr="00EA1017">
        <w:rPr>
          <w:rFonts w:ascii="Arial" w:hAnsi="Arial"/>
          <w:color w:val="000000"/>
          <w:sz w:val="24"/>
          <w:szCs w:val="24"/>
        </w:rPr>
        <w:t>FINANCIACION</w:t>
      </w:r>
    </w:p>
    <w:p w:rsidR="00212B47" w:rsidRPr="00EA1017" w:rsidRDefault="00212B47" w:rsidP="00EA1017">
      <w:pPr>
        <w:jc w:val="both"/>
        <w:rPr>
          <w:rFonts w:ascii="Arial" w:hAnsi="Arial"/>
          <w:color w:val="000000"/>
          <w:sz w:val="24"/>
          <w:szCs w:val="24"/>
        </w:rPr>
      </w:pPr>
      <w:r w:rsidRPr="00EA1017">
        <w:rPr>
          <w:rFonts w:ascii="Arial" w:hAnsi="Arial"/>
          <w:color w:val="000000"/>
          <w:sz w:val="24"/>
          <w:szCs w:val="24"/>
        </w:rPr>
        <w:t>Según denuncias de diarios y agencias de noticias, Las finanzas son controladas por un funcionario nombrado por EEUU, mayor contribuyente del organismo. Sin embargo, hay cuestionamientos sobre fondos adicionales que recibe la OEA de donantes externos y que se manejan discrecionalmente por la Secretaría General, caso del nombramiento para este año de un grupo de "dirigentes políticos latinoamericanos" para realizar por US$ 15.000,00 cada uno "jornadas de reflexión y reuniones de consulta" en Washington que ninguna misión conoció.</w:t>
      </w:r>
    </w:p>
    <w:p w:rsidR="00212B47" w:rsidRPr="00EA1017" w:rsidRDefault="00212B47" w:rsidP="00EA1017">
      <w:pPr>
        <w:jc w:val="both"/>
        <w:rPr>
          <w:rFonts w:ascii="Arial" w:hAnsi="Arial"/>
          <w:color w:val="000000"/>
          <w:sz w:val="24"/>
          <w:szCs w:val="24"/>
        </w:rPr>
      </w:pPr>
      <w:r w:rsidRPr="00EA1017">
        <w:rPr>
          <w:rFonts w:ascii="Arial" w:hAnsi="Arial"/>
          <w:color w:val="000000"/>
          <w:sz w:val="24"/>
          <w:szCs w:val="24"/>
        </w:rPr>
        <w:t>Lo anterior, da a pensar, cuánta razón tiene</w:t>
      </w:r>
      <w:bookmarkStart w:id="14" w:name="_GoBack"/>
      <w:bookmarkEnd w:id="14"/>
      <w:r w:rsidRPr="00EA1017">
        <w:rPr>
          <w:rFonts w:ascii="Arial" w:hAnsi="Arial"/>
          <w:color w:val="000000"/>
          <w:sz w:val="24"/>
          <w:szCs w:val="24"/>
        </w:rPr>
        <w:t xml:space="preserve"> algunos Estados en querer excluir de la Organización a EEUU, tener más Independencia y Autonomía en los diferendos internos. Según estos Países, son Estados Disidentes y de la Periferia en referencia al Centro EEUU. Verbi gratia, la superpotencia no debe entrometerse en asuntos internos.</w:t>
      </w:r>
    </w:p>
    <w:p w:rsidR="00212B47" w:rsidRPr="00625B18" w:rsidRDefault="00212B47" w:rsidP="00625B18">
      <w:pPr>
        <w:pStyle w:val="Heading1"/>
        <w:rPr>
          <w:rFonts w:ascii="Arial" w:hAnsi="Arial" w:cs="Arial"/>
          <w:color w:val="000000"/>
          <w:sz w:val="24"/>
          <w:szCs w:val="24"/>
        </w:rPr>
      </w:pPr>
    </w:p>
    <w:p w:rsidR="00212B47" w:rsidRDefault="00212B47" w:rsidP="002061CE">
      <w:bookmarkStart w:id="15" w:name="_Toc304368417"/>
    </w:p>
    <w:p w:rsidR="00212B47" w:rsidRDefault="00212B47" w:rsidP="002061CE"/>
    <w:p w:rsidR="00212B47" w:rsidRDefault="00212B47" w:rsidP="002061CE">
      <w:pPr>
        <w:pStyle w:val="Heading1"/>
        <w:rPr>
          <w:rFonts w:ascii="Arial" w:hAnsi="Arial" w:cs="Arial"/>
          <w:color w:val="000000"/>
          <w:sz w:val="24"/>
          <w:szCs w:val="24"/>
        </w:rPr>
      </w:pPr>
    </w:p>
    <w:p w:rsidR="00212B47" w:rsidRDefault="00212B47" w:rsidP="002061CE"/>
    <w:p w:rsidR="00212B47" w:rsidRDefault="00212B47" w:rsidP="002061CE"/>
    <w:p w:rsidR="00212B47" w:rsidRDefault="00212B47" w:rsidP="002061CE"/>
    <w:p w:rsidR="00212B47" w:rsidRDefault="00212B47" w:rsidP="002061CE"/>
    <w:p w:rsidR="00212B47" w:rsidRDefault="00212B47" w:rsidP="002061CE"/>
    <w:p w:rsidR="00212B47" w:rsidRDefault="00212B47" w:rsidP="002061CE">
      <w:pPr>
        <w:pStyle w:val="Heading1"/>
        <w:rPr>
          <w:rFonts w:ascii="Arial" w:hAnsi="Arial" w:cs="Arial"/>
          <w:color w:val="000000"/>
          <w:sz w:val="24"/>
          <w:szCs w:val="24"/>
        </w:rPr>
      </w:pPr>
      <w:r w:rsidRPr="00625B18">
        <w:rPr>
          <w:rFonts w:ascii="Arial" w:hAnsi="Arial" w:cs="Arial"/>
          <w:color w:val="000000"/>
          <w:sz w:val="24"/>
          <w:szCs w:val="24"/>
        </w:rPr>
        <w:t>BIBLIOGRAFIA Y CIBERGRAFIA</w:t>
      </w:r>
      <w:bookmarkEnd w:id="15"/>
    </w:p>
    <w:p w:rsidR="00212B47" w:rsidRDefault="00212B47" w:rsidP="001A7CF3"/>
    <w:p w:rsidR="00212B47" w:rsidRDefault="00212B47" w:rsidP="001A7CF3">
      <w:r w:rsidRPr="005B4123">
        <w:t>http://www.trife.org.mx/ccje/Archivos/convencion_americana.pdf</w:t>
      </w:r>
    </w:p>
    <w:p w:rsidR="00212B47" w:rsidRDefault="00212B47" w:rsidP="001A7CF3">
      <w:r w:rsidRPr="005B4123">
        <w:t>http://www.culto.gov.ar/sj.pdf</w:t>
      </w:r>
    </w:p>
    <w:p w:rsidR="00212B47" w:rsidRDefault="00212B47" w:rsidP="001A7CF3">
      <w:r w:rsidRPr="005B4123">
        <w:t>http://www.caracol.com.co/nota.aspx?id=1309850</w:t>
      </w:r>
    </w:p>
    <w:p w:rsidR="00212B47" w:rsidRDefault="00212B47" w:rsidP="001A7CF3">
      <w:r w:rsidRPr="005B4123">
        <w:t>http://www.cidh.oas.org/annualrep/2010sp/indice2010.htm</w:t>
      </w:r>
    </w:p>
    <w:p w:rsidR="00212B47" w:rsidRDefault="00212B47" w:rsidP="001A7CF3">
      <w:r w:rsidRPr="005B4123">
        <w:t>http://www.nuso.org/upload/articulos/3628_1.pdf</w:t>
      </w:r>
    </w:p>
    <w:p w:rsidR="00212B47" w:rsidRDefault="00212B47" w:rsidP="001A7CF3">
      <w:r w:rsidRPr="005B4123">
        <w:t>http://www.abc.es/20110601/internacional/rc-honduras-regresa-201106011917.html</w:t>
      </w:r>
    </w:p>
    <w:p w:rsidR="00212B47" w:rsidRDefault="00212B47" w:rsidP="001A7CF3"/>
    <w:p w:rsidR="00212B47" w:rsidRDefault="00212B47" w:rsidP="001A7CF3"/>
    <w:p w:rsidR="00212B47" w:rsidRDefault="00212B47" w:rsidP="001A7CF3"/>
    <w:p w:rsidR="00212B47" w:rsidRPr="001A7CF3" w:rsidRDefault="00212B47" w:rsidP="001A7CF3"/>
    <w:p w:rsidR="00212B47" w:rsidRDefault="00212B47" w:rsidP="00625B18"/>
    <w:p w:rsidR="00212B47" w:rsidRDefault="00212B47" w:rsidP="00C67CD9">
      <w:pPr>
        <w:spacing w:after="0"/>
        <w:jc w:val="both"/>
        <w:rPr>
          <w:rFonts w:ascii="Arial" w:hAnsi="Arial"/>
          <w:sz w:val="24"/>
          <w:szCs w:val="24"/>
        </w:rPr>
      </w:pPr>
    </w:p>
    <w:p w:rsidR="00212B47" w:rsidRDefault="00212B47" w:rsidP="00C67CD9">
      <w:pPr>
        <w:spacing w:after="0"/>
        <w:jc w:val="both"/>
        <w:rPr>
          <w:rFonts w:ascii="Arial" w:hAnsi="Arial"/>
          <w:b/>
          <w:bCs/>
          <w:i/>
          <w:iCs/>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Default="00212B47" w:rsidP="006E1D52">
      <w:pPr>
        <w:spacing w:after="0"/>
        <w:jc w:val="both"/>
        <w:rPr>
          <w:rFonts w:ascii="Arial" w:hAnsi="Arial"/>
          <w:color w:val="000000"/>
          <w:sz w:val="24"/>
          <w:szCs w:val="24"/>
        </w:rPr>
      </w:pPr>
    </w:p>
    <w:p w:rsidR="00212B47" w:rsidRPr="006E1D52" w:rsidRDefault="00212B47" w:rsidP="006E1D52">
      <w:pPr>
        <w:spacing w:after="0"/>
        <w:jc w:val="both"/>
        <w:rPr>
          <w:rFonts w:ascii="Arial" w:hAnsi="Arial"/>
          <w:color w:val="000000"/>
          <w:sz w:val="24"/>
          <w:szCs w:val="24"/>
        </w:rPr>
      </w:pPr>
    </w:p>
    <w:sectPr w:rsidR="00212B47" w:rsidRPr="006E1D52" w:rsidSect="00092E81">
      <w:headerReference w:type="default" r:id="rId43"/>
      <w:pgSz w:w="12240" w:h="15840"/>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B47" w:rsidRDefault="00212B47" w:rsidP="006E1D52">
      <w:pPr>
        <w:spacing w:after="0" w:line="240" w:lineRule="auto"/>
      </w:pPr>
      <w:r>
        <w:separator/>
      </w:r>
    </w:p>
  </w:endnote>
  <w:endnote w:type="continuationSeparator" w:id="0">
    <w:p w:rsidR="00212B47" w:rsidRDefault="00212B47" w:rsidP="006E1D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B47" w:rsidRDefault="00212B47" w:rsidP="006E1D52">
      <w:pPr>
        <w:spacing w:after="0" w:line="240" w:lineRule="auto"/>
      </w:pPr>
      <w:r>
        <w:separator/>
      </w:r>
    </w:p>
  </w:footnote>
  <w:footnote w:type="continuationSeparator" w:id="0">
    <w:p w:rsidR="00212B47" w:rsidRDefault="00212B47" w:rsidP="006E1D52">
      <w:pPr>
        <w:spacing w:after="0" w:line="240" w:lineRule="auto"/>
      </w:pPr>
      <w:r>
        <w:continuationSeparator/>
      </w:r>
    </w:p>
  </w:footnote>
  <w:footnote w:id="1">
    <w:p w:rsidR="00212B47" w:rsidRPr="005710A5" w:rsidRDefault="00212B47" w:rsidP="00684797">
      <w:pPr>
        <w:rPr>
          <w:rFonts w:ascii="Arial" w:hAnsi="Arial"/>
          <w:sz w:val="20"/>
          <w:szCs w:val="20"/>
        </w:rPr>
      </w:pPr>
      <w:r w:rsidRPr="005710A5">
        <w:rPr>
          <w:rStyle w:val="FootnoteReference"/>
          <w:rFonts w:ascii="Arial" w:hAnsi="Arial" w:cs="Arial"/>
          <w:sz w:val="20"/>
          <w:szCs w:val="20"/>
        </w:rPr>
        <w:footnoteRef/>
      </w:r>
      <w:r w:rsidRPr="005710A5">
        <w:rPr>
          <w:rFonts w:ascii="Arial" w:hAnsi="Arial"/>
          <w:sz w:val="20"/>
          <w:szCs w:val="20"/>
        </w:rPr>
        <w:t xml:space="preserve"> Tomado de la página oficial de la OEA: </w:t>
      </w:r>
      <w:hyperlink r:id="rId1" w:history="1">
        <w:r w:rsidRPr="005710A5">
          <w:rPr>
            <w:rStyle w:val="Hyperlink"/>
            <w:rFonts w:ascii="Arial" w:hAnsi="Arial" w:cs="Arial"/>
            <w:color w:val="000000"/>
            <w:sz w:val="20"/>
            <w:szCs w:val="20"/>
          </w:rPr>
          <w:t>http://www.oas.org/es/acerca/quienes_somos.asp</w:t>
        </w:r>
      </w:hyperlink>
    </w:p>
    <w:p w:rsidR="00212B47" w:rsidRDefault="00212B47" w:rsidP="00684797">
      <w:pPr>
        <w:jc w:val="both"/>
      </w:pPr>
    </w:p>
    <w:p w:rsidR="00212B47" w:rsidRDefault="00212B47" w:rsidP="00684797">
      <w:pPr>
        <w:jc w:val="both"/>
      </w:pPr>
    </w:p>
    <w:p w:rsidR="00212B47" w:rsidRDefault="00212B47" w:rsidP="00684797">
      <w:pPr>
        <w:jc w:val="both"/>
      </w:pPr>
    </w:p>
  </w:footnote>
  <w:footnote w:id="2">
    <w:p w:rsidR="00212B47" w:rsidRDefault="00212B47">
      <w:pPr>
        <w:pStyle w:val="FootnoteText"/>
      </w:pPr>
      <w:r>
        <w:rPr>
          <w:rStyle w:val="FootnoteReference"/>
          <w:rFonts w:cs="Arial"/>
        </w:rPr>
        <w:footnoteRef/>
      </w:r>
      <w:r>
        <w:t xml:space="preserve"> Concepto de ACNUR</w:t>
      </w:r>
    </w:p>
  </w:footnote>
  <w:footnote w:id="3">
    <w:p w:rsidR="00212B47" w:rsidRDefault="00212B47">
      <w:pPr>
        <w:pStyle w:val="FootnoteText"/>
      </w:pPr>
      <w:r>
        <w:rPr>
          <w:rStyle w:val="FootnoteReference"/>
          <w:rFonts w:cs="Arial"/>
        </w:rPr>
        <w:footnoteRef/>
      </w:r>
      <w:r>
        <w:t xml:space="preserve"> I</w:t>
      </w:r>
      <w:r>
        <w:rPr>
          <w:rFonts w:ascii="Arial" w:hAnsi="Arial"/>
          <w:color w:val="686868"/>
          <w:sz w:val="21"/>
          <w:szCs w:val="21"/>
        </w:rPr>
        <w:t>gualmente, señalo en su momento, que "el coronel Plazas Vega estaba plenamente enterado de las personas que ingresaban como 'S', 'Especiales' a la Casa del Florero, que tuvo el control de la operación final donde salió Irma Franco Pineda quien estuvo retenida y custodiada (....) Y que finalmente no apareció. Caracol Radio. Junio de 2010</w:t>
      </w:r>
    </w:p>
  </w:footnote>
  <w:footnote w:id="4">
    <w:p w:rsidR="00212B47" w:rsidRDefault="00212B47" w:rsidP="009D3FF7">
      <w:pPr>
        <w:pStyle w:val="FootnoteText"/>
        <w:spacing w:after="120"/>
        <w:ind w:firstLine="720"/>
        <w:jc w:val="both"/>
      </w:pPr>
      <w:r w:rsidRPr="005710A5">
        <w:rPr>
          <w:rStyle w:val="FootnoteReference"/>
          <w:rFonts w:ascii="Arial" w:hAnsi="Arial" w:cs="Arial"/>
          <w:color w:val="000000"/>
          <w:lang w:val="es-ES_tradnl"/>
        </w:rPr>
        <w:footnoteRef/>
      </w:r>
      <w:r w:rsidRPr="005710A5">
        <w:rPr>
          <w:rFonts w:ascii="Arial" w:hAnsi="Arial"/>
          <w:bCs/>
          <w:color w:val="000000"/>
          <w:lang w:val="es-ES_tradnl"/>
        </w:rPr>
        <w:t xml:space="preserve">  Las cifras del Observatorio de la Vicepresidencia registran 24 masacres en el mismo periodo del año 2009.  Ver </w:t>
      </w:r>
      <w:hyperlink r:id="rId2" w:history="1">
        <w:r w:rsidRPr="005710A5">
          <w:rPr>
            <w:rStyle w:val="Hyperlink"/>
            <w:rFonts w:ascii="Arial" w:hAnsi="Arial" w:cs="Arial"/>
            <w:bCs/>
            <w:color w:val="000000"/>
            <w:lang w:val="es-ES_tradnl"/>
          </w:rPr>
          <w:t>http://www.derechoshumanos.gov.co/Observatorio/Paginas/Observatorio.aspx</w:t>
        </w:r>
      </w:hyperlink>
      <w:r w:rsidRPr="005710A5">
        <w:rPr>
          <w:rFonts w:ascii="Arial" w:hAnsi="Arial"/>
          <w:bCs/>
          <w:color w:val="000000"/>
          <w:lang w:val="es-ES_tradnl"/>
        </w:rPr>
        <w:t>.</w:t>
      </w:r>
    </w:p>
  </w:footnote>
  <w:footnote w:id="5">
    <w:p w:rsidR="00212B47" w:rsidRDefault="00212B47" w:rsidP="009D3FF7">
      <w:pPr>
        <w:pStyle w:val="FootnoteText"/>
        <w:spacing w:after="120"/>
        <w:ind w:firstLine="720"/>
        <w:jc w:val="both"/>
      </w:pPr>
      <w:r w:rsidRPr="005710A5">
        <w:rPr>
          <w:rStyle w:val="FootnoteReference"/>
          <w:rFonts w:ascii="Arial" w:hAnsi="Arial" w:cs="Arial"/>
          <w:color w:val="000000"/>
          <w:lang w:val="es-ES_tradnl"/>
        </w:rPr>
        <w:footnoteRef/>
      </w:r>
      <w:r w:rsidRPr="005710A5">
        <w:rPr>
          <w:rFonts w:ascii="Arial" w:hAnsi="Arial"/>
          <w:color w:val="000000"/>
          <w:lang w:val="es-ES_tradnl"/>
        </w:rPr>
        <w:t xml:space="preserve"> Esta fuente hace referencia tanto a “víctimas de ejecución extrajudicial por abuso de autoridad e intolerancia social por agentes directos o indirectos del Estado (violaciones a los derechos humanos)” como a “víctimas registradas simultáneamente como ejecuciones extrajudiciales perpetradas por agentes directos o indirectos del Estado por móviles de persecución política (violaciones a los derechos humanos) y como homicidios intencionales de personas protegidas (infracciones al derecho internacional humanitario)”. Ver Banco de Datos del CINEP, Noche y Niebla No. 41, pág. 52, </w:t>
      </w:r>
      <w:hyperlink r:id="rId3" w:history="1">
        <w:r w:rsidRPr="005710A5">
          <w:rPr>
            <w:rStyle w:val="Hyperlink"/>
            <w:rFonts w:ascii="Arial" w:hAnsi="Arial" w:cs="Arial"/>
            <w:color w:val="000000"/>
            <w:lang w:val="es-ES_tradnl"/>
          </w:rPr>
          <w:t>http://www.nocheyniebla.org/files/u1/41/Niebla41.pdf</w:t>
        </w:r>
      </w:hyperlink>
      <w:r w:rsidRPr="005710A5">
        <w:rPr>
          <w:rFonts w:ascii="Arial" w:hAnsi="Arial"/>
          <w:color w:val="000000"/>
          <w:lang w:val="es-ES_tradnl"/>
        </w:rPr>
        <w:t>.</w:t>
      </w:r>
      <w:r w:rsidRPr="005710A5">
        <w:rPr>
          <w:rFonts w:ascii="Univers" w:hAnsi="Univers"/>
          <w:color w:val="000000"/>
          <w:sz w:val="16"/>
          <w:szCs w:val="16"/>
          <w:lang w:val="es-ES_tradn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B47" w:rsidRDefault="00212B47">
    <w:pPr>
      <w:pStyle w:val="Header"/>
    </w:pPr>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7" o:spid="_x0000_s2049" type="#_x0000_t75" alt="http://www.mercosurtime.com/wp-content/uploads/2011/09/OEA.jpg" style="position:absolute;margin-left:-45.3pt;margin-top:-27.15pt;width:71.25pt;height:57pt;z-index:251660288;visibility:visible">
          <v:imagedata r:id="rId1" o:title=""/>
          <w10:wrap type="squar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E34C7"/>
    <w:multiLevelType w:val="hybridMultilevel"/>
    <w:tmpl w:val="C5667956"/>
    <w:lvl w:ilvl="0" w:tplc="9F805E0E">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
    <w:nsid w:val="3EFF0F64"/>
    <w:multiLevelType w:val="hybridMultilevel"/>
    <w:tmpl w:val="2FEE21D8"/>
    <w:lvl w:ilvl="0" w:tplc="B9464C14">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nsid w:val="46D21B3F"/>
    <w:multiLevelType w:val="hybridMultilevel"/>
    <w:tmpl w:val="12CC9B34"/>
    <w:lvl w:ilvl="0" w:tplc="B2AE7188">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
    <w:nsid w:val="55C8189A"/>
    <w:multiLevelType w:val="hybridMultilevel"/>
    <w:tmpl w:val="397CDAD0"/>
    <w:lvl w:ilvl="0" w:tplc="D33E84DA">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
    <w:nsid w:val="65AD7C95"/>
    <w:multiLevelType w:val="hybridMultilevel"/>
    <w:tmpl w:val="F386FFE6"/>
    <w:lvl w:ilvl="0" w:tplc="7D9EBB1A">
      <w:start w:val="9"/>
      <w:numFmt w:val="decimal"/>
      <w:lvlText w:val="%1."/>
      <w:lvlJc w:val="left"/>
      <w:pPr>
        <w:tabs>
          <w:tab w:val="num" w:pos="720"/>
        </w:tabs>
        <w:ind w:firstLine="720"/>
      </w:pPr>
      <w:rPr>
        <w:rFonts w:cs="Times New Roman"/>
        <w:b w:val="0"/>
        <w:sz w:val="20"/>
        <w:szCs w:val="20"/>
      </w:rPr>
    </w:lvl>
    <w:lvl w:ilvl="1" w:tplc="4D286148">
      <w:start w:val="1"/>
      <w:numFmt w:val="decimal"/>
      <w:lvlText w:val="%2."/>
      <w:lvlJc w:val="left"/>
      <w:pPr>
        <w:tabs>
          <w:tab w:val="num" w:pos="1440"/>
        </w:tabs>
        <w:ind w:left="1440" w:hanging="360"/>
      </w:pPr>
      <w:rPr>
        <w:rFonts w:cs="Times New Roman"/>
        <w:b w:val="0"/>
        <w:sz w:val="20"/>
        <w:szCs w:val="20"/>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7B117B41"/>
    <w:multiLevelType w:val="multilevel"/>
    <w:tmpl w:val="8DE4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3"/>
  </w:num>
  <w:num w:numId="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0A75"/>
    <w:rsid w:val="00040A75"/>
    <w:rsid w:val="00076D91"/>
    <w:rsid w:val="00092E81"/>
    <w:rsid w:val="000E40F8"/>
    <w:rsid w:val="001213A6"/>
    <w:rsid w:val="001A7CF3"/>
    <w:rsid w:val="001C7636"/>
    <w:rsid w:val="001F6238"/>
    <w:rsid w:val="00202552"/>
    <w:rsid w:val="002061CE"/>
    <w:rsid w:val="00212B47"/>
    <w:rsid w:val="002411F1"/>
    <w:rsid w:val="002B7226"/>
    <w:rsid w:val="002C7BCB"/>
    <w:rsid w:val="002D4D43"/>
    <w:rsid w:val="00342F7E"/>
    <w:rsid w:val="00357B5E"/>
    <w:rsid w:val="003D30A5"/>
    <w:rsid w:val="003E577B"/>
    <w:rsid w:val="003F6FBC"/>
    <w:rsid w:val="00456827"/>
    <w:rsid w:val="00464B60"/>
    <w:rsid w:val="004C3AA7"/>
    <w:rsid w:val="004E66C5"/>
    <w:rsid w:val="00557890"/>
    <w:rsid w:val="005710A5"/>
    <w:rsid w:val="005B4123"/>
    <w:rsid w:val="005B42D3"/>
    <w:rsid w:val="005D3409"/>
    <w:rsid w:val="005F36F8"/>
    <w:rsid w:val="0061006E"/>
    <w:rsid w:val="00625B18"/>
    <w:rsid w:val="006666AB"/>
    <w:rsid w:val="00684797"/>
    <w:rsid w:val="00686393"/>
    <w:rsid w:val="006E1D52"/>
    <w:rsid w:val="00716D92"/>
    <w:rsid w:val="00754CBA"/>
    <w:rsid w:val="007B23B3"/>
    <w:rsid w:val="007C0962"/>
    <w:rsid w:val="00806851"/>
    <w:rsid w:val="008115EA"/>
    <w:rsid w:val="008F4D9C"/>
    <w:rsid w:val="00927686"/>
    <w:rsid w:val="00930BE3"/>
    <w:rsid w:val="009D1EC3"/>
    <w:rsid w:val="009D3FF7"/>
    <w:rsid w:val="009E648A"/>
    <w:rsid w:val="00A37662"/>
    <w:rsid w:val="00A40D77"/>
    <w:rsid w:val="00A55DDB"/>
    <w:rsid w:val="00A819DD"/>
    <w:rsid w:val="00A92154"/>
    <w:rsid w:val="00AC551B"/>
    <w:rsid w:val="00AD4B86"/>
    <w:rsid w:val="00B2505E"/>
    <w:rsid w:val="00B411C4"/>
    <w:rsid w:val="00B5405B"/>
    <w:rsid w:val="00B63D20"/>
    <w:rsid w:val="00BC7304"/>
    <w:rsid w:val="00BE3219"/>
    <w:rsid w:val="00BF58B6"/>
    <w:rsid w:val="00C24E75"/>
    <w:rsid w:val="00C4204F"/>
    <w:rsid w:val="00C42C35"/>
    <w:rsid w:val="00C479E8"/>
    <w:rsid w:val="00C67CD9"/>
    <w:rsid w:val="00CE502E"/>
    <w:rsid w:val="00D96515"/>
    <w:rsid w:val="00DF0B32"/>
    <w:rsid w:val="00E23EF4"/>
    <w:rsid w:val="00E35D00"/>
    <w:rsid w:val="00EA1017"/>
    <w:rsid w:val="00F47825"/>
    <w:rsid w:val="00F66124"/>
    <w:rsid w:val="00FA1D18"/>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16D92"/>
    <w:pPr>
      <w:spacing w:after="200" w:line="276" w:lineRule="auto"/>
    </w:pPr>
    <w:rPr>
      <w:lang w:val="es-CO" w:eastAsia="en-US"/>
    </w:rPr>
  </w:style>
  <w:style w:type="paragraph" w:styleId="Heading1">
    <w:name w:val="heading 1"/>
    <w:basedOn w:val="Normal"/>
    <w:next w:val="Normal"/>
    <w:link w:val="Heading1Char"/>
    <w:uiPriority w:val="99"/>
    <w:qFormat/>
    <w:rsid w:val="00357B5E"/>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link w:val="Heading2Char"/>
    <w:uiPriority w:val="99"/>
    <w:qFormat/>
    <w:rsid w:val="00D96515"/>
    <w:pPr>
      <w:spacing w:before="100" w:beforeAutospacing="1" w:after="120" w:line="240" w:lineRule="auto"/>
      <w:outlineLvl w:val="1"/>
    </w:pPr>
    <w:rPr>
      <w:rFonts w:ascii="Times New Roman" w:eastAsia="Times New Roman" w:hAnsi="Times New Roman" w:cs="Times New Roman"/>
      <w:b/>
      <w:bCs/>
      <w:color w:val="333333"/>
      <w:sz w:val="29"/>
      <w:szCs w:val="29"/>
      <w:lang w:eastAsia="es-C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7B5E"/>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D96515"/>
    <w:rPr>
      <w:rFonts w:ascii="Times New Roman" w:hAnsi="Times New Roman" w:cs="Times New Roman"/>
      <w:b/>
      <w:bCs/>
      <w:color w:val="333333"/>
      <w:sz w:val="29"/>
      <w:szCs w:val="29"/>
      <w:lang w:eastAsia="es-CO"/>
    </w:rPr>
  </w:style>
  <w:style w:type="character" w:styleId="Emphasis">
    <w:name w:val="Emphasis"/>
    <w:basedOn w:val="DefaultParagraphFont"/>
    <w:uiPriority w:val="99"/>
    <w:qFormat/>
    <w:rsid w:val="00C479E8"/>
    <w:rPr>
      <w:rFonts w:ascii="Arial" w:hAnsi="Arial" w:cs="Arial"/>
      <w:i/>
      <w:iCs/>
      <w:color w:val="FFCC00"/>
      <w:sz w:val="17"/>
      <w:szCs w:val="17"/>
    </w:rPr>
  </w:style>
  <w:style w:type="character" w:styleId="Strong">
    <w:name w:val="Strong"/>
    <w:basedOn w:val="DefaultParagraphFont"/>
    <w:uiPriority w:val="99"/>
    <w:qFormat/>
    <w:rsid w:val="00C479E8"/>
    <w:rPr>
      <w:rFonts w:cs="Times New Roman"/>
      <w:b/>
      <w:bCs/>
    </w:rPr>
  </w:style>
  <w:style w:type="character" w:styleId="Hyperlink">
    <w:name w:val="Hyperlink"/>
    <w:basedOn w:val="DefaultParagraphFont"/>
    <w:uiPriority w:val="99"/>
    <w:rsid w:val="002B7226"/>
    <w:rPr>
      <w:rFonts w:cs="Times New Roman"/>
      <w:color w:val="0000FF"/>
      <w:u w:val="single"/>
    </w:rPr>
  </w:style>
  <w:style w:type="paragraph" w:styleId="NormalWeb">
    <w:name w:val="Normal (Web)"/>
    <w:basedOn w:val="Normal"/>
    <w:uiPriority w:val="99"/>
    <w:semiHidden/>
    <w:rsid w:val="00A3766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BalloonText">
    <w:name w:val="Balloon Text"/>
    <w:basedOn w:val="Normal"/>
    <w:link w:val="BalloonTextChar"/>
    <w:uiPriority w:val="99"/>
    <w:semiHidden/>
    <w:rsid w:val="006E1D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1D52"/>
    <w:rPr>
      <w:rFonts w:ascii="Tahoma" w:hAnsi="Tahoma" w:cs="Tahoma"/>
      <w:sz w:val="16"/>
      <w:szCs w:val="16"/>
    </w:rPr>
  </w:style>
  <w:style w:type="paragraph" w:styleId="Header">
    <w:name w:val="header"/>
    <w:basedOn w:val="Normal"/>
    <w:link w:val="HeaderChar"/>
    <w:uiPriority w:val="99"/>
    <w:rsid w:val="006E1D52"/>
    <w:pPr>
      <w:tabs>
        <w:tab w:val="center" w:pos="4419"/>
        <w:tab w:val="right" w:pos="8838"/>
      </w:tabs>
      <w:spacing w:after="0" w:line="240" w:lineRule="auto"/>
    </w:pPr>
  </w:style>
  <w:style w:type="character" w:customStyle="1" w:styleId="HeaderChar">
    <w:name w:val="Header Char"/>
    <w:basedOn w:val="DefaultParagraphFont"/>
    <w:link w:val="Header"/>
    <w:uiPriority w:val="99"/>
    <w:locked/>
    <w:rsid w:val="006E1D52"/>
    <w:rPr>
      <w:rFonts w:cs="Times New Roman"/>
    </w:rPr>
  </w:style>
  <w:style w:type="paragraph" w:styleId="Footer">
    <w:name w:val="footer"/>
    <w:basedOn w:val="Normal"/>
    <w:link w:val="FooterChar"/>
    <w:uiPriority w:val="99"/>
    <w:rsid w:val="006E1D52"/>
    <w:pPr>
      <w:tabs>
        <w:tab w:val="center" w:pos="4419"/>
        <w:tab w:val="right" w:pos="8838"/>
      </w:tabs>
      <w:spacing w:after="0" w:line="240" w:lineRule="auto"/>
    </w:pPr>
  </w:style>
  <w:style w:type="character" w:customStyle="1" w:styleId="FooterChar">
    <w:name w:val="Footer Char"/>
    <w:basedOn w:val="DefaultParagraphFont"/>
    <w:link w:val="Footer"/>
    <w:uiPriority w:val="99"/>
    <w:locked/>
    <w:rsid w:val="006E1D52"/>
    <w:rPr>
      <w:rFonts w:cs="Times New Roman"/>
    </w:rPr>
  </w:style>
  <w:style w:type="paragraph" w:styleId="TOCHeading">
    <w:name w:val="TOC Heading"/>
    <w:basedOn w:val="Heading1"/>
    <w:next w:val="Normal"/>
    <w:uiPriority w:val="99"/>
    <w:qFormat/>
    <w:rsid w:val="00357B5E"/>
    <w:pPr>
      <w:outlineLvl w:val="9"/>
    </w:pPr>
    <w:rPr>
      <w:lang w:eastAsia="es-CO"/>
    </w:rPr>
  </w:style>
  <w:style w:type="paragraph" w:styleId="TOC1">
    <w:name w:val="toc 1"/>
    <w:basedOn w:val="Normal"/>
    <w:next w:val="Normal"/>
    <w:autoRedefine/>
    <w:uiPriority w:val="99"/>
    <w:rsid w:val="00357B5E"/>
    <w:pPr>
      <w:spacing w:after="100"/>
    </w:pPr>
  </w:style>
  <w:style w:type="paragraph" w:styleId="TOC2">
    <w:name w:val="toc 2"/>
    <w:basedOn w:val="Normal"/>
    <w:next w:val="Normal"/>
    <w:autoRedefine/>
    <w:uiPriority w:val="99"/>
    <w:rsid w:val="006666AB"/>
    <w:pPr>
      <w:spacing w:after="100"/>
      <w:ind w:left="220"/>
    </w:pPr>
  </w:style>
  <w:style w:type="paragraph" w:customStyle="1" w:styleId="text2">
    <w:name w:val="text2"/>
    <w:basedOn w:val="Normal"/>
    <w:uiPriority w:val="99"/>
    <w:rsid w:val="00F66124"/>
    <w:pPr>
      <w:spacing w:before="100" w:beforeAutospacing="1" w:after="100" w:afterAutospacing="1" w:line="240" w:lineRule="auto"/>
    </w:pPr>
    <w:rPr>
      <w:rFonts w:ascii="Times New Roman" w:eastAsia="Times New Roman" w:hAnsi="Times New Roman" w:cs="Times New Roman"/>
      <w:color w:val="000000"/>
      <w:sz w:val="24"/>
      <w:szCs w:val="24"/>
      <w:lang w:eastAsia="es-CO"/>
    </w:rPr>
  </w:style>
  <w:style w:type="paragraph" w:styleId="EndnoteText">
    <w:name w:val="endnote text"/>
    <w:basedOn w:val="Normal"/>
    <w:link w:val="EndnoteTextChar"/>
    <w:uiPriority w:val="99"/>
    <w:semiHidden/>
    <w:rsid w:val="004C3AA7"/>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4C3AA7"/>
    <w:rPr>
      <w:rFonts w:cs="Times New Roman"/>
      <w:sz w:val="20"/>
      <w:szCs w:val="20"/>
    </w:rPr>
  </w:style>
  <w:style w:type="character" w:styleId="EndnoteReference">
    <w:name w:val="endnote reference"/>
    <w:basedOn w:val="DefaultParagraphFont"/>
    <w:uiPriority w:val="99"/>
    <w:semiHidden/>
    <w:rsid w:val="004C3AA7"/>
    <w:rPr>
      <w:rFonts w:cs="Times New Roman"/>
      <w:vertAlign w:val="superscript"/>
    </w:rPr>
  </w:style>
  <w:style w:type="paragraph" w:styleId="FootnoteText">
    <w:name w:val="footnote text"/>
    <w:aliases w:val="Footnote Text Char Char Char Char Char,Footnote Text Char Char Char Char,Footnote reference,FA Fu,Footnote Text Char Char Char,Texto nota pie [MM],FA Fußnotentext,FA Fuﬂnotentext,ft,texto de nota al pie,Car1,Ca,fn,Car"/>
    <w:basedOn w:val="Normal"/>
    <w:link w:val="FootnoteTextChar"/>
    <w:uiPriority w:val="99"/>
    <w:semiHidden/>
    <w:rsid w:val="004C3AA7"/>
    <w:pPr>
      <w:spacing w:after="0" w:line="240" w:lineRule="auto"/>
    </w:pPr>
    <w:rPr>
      <w:sz w:val="20"/>
      <w:szCs w:val="20"/>
    </w:rPr>
  </w:style>
  <w:style w:type="character" w:customStyle="1" w:styleId="FootnoteTextChar">
    <w:name w:val="Footnote Text Char"/>
    <w:aliases w:val="Footnote Text Char Char Char Char Char Char,Footnote Text Char Char Char Char Char1,Footnote reference Char,FA Fu Char,Footnote Text Char Char Char Char1,Texto nota pie [MM] Char,FA Fußnotentext Char,FA Fuﬂnotentext Char,ft Char"/>
    <w:basedOn w:val="DefaultParagraphFont"/>
    <w:link w:val="FootnoteText"/>
    <w:uiPriority w:val="99"/>
    <w:semiHidden/>
    <w:locked/>
    <w:rsid w:val="004C3AA7"/>
    <w:rPr>
      <w:rFonts w:cs="Times New Roman"/>
      <w:sz w:val="20"/>
      <w:szCs w:val="20"/>
    </w:rPr>
  </w:style>
  <w:style w:type="character" w:styleId="FootnoteReference">
    <w:name w:val="footnote reference"/>
    <w:aliases w:val="Footnotes refss,Texto de nota al pie,referencia nota al pie,BVI fnr,Appel note de bas de page,Footnote symbol,Footnote,Footnote number,f,Ref. de nota al pie."/>
    <w:basedOn w:val="DefaultParagraphFont"/>
    <w:uiPriority w:val="99"/>
    <w:semiHidden/>
    <w:rsid w:val="004C3AA7"/>
    <w:rPr>
      <w:rFonts w:cs="Times New Roman"/>
      <w:vertAlign w:val="superscript"/>
    </w:rPr>
  </w:style>
  <w:style w:type="paragraph" w:customStyle="1" w:styleId="Default">
    <w:name w:val="Default"/>
    <w:uiPriority w:val="99"/>
    <w:rsid w:val="00F47825"/>
    <w:pPr>
      <w:autoSpaceDE w:val="0"/>
      <w:autoSpaceDN w:val="0"/>
      <w:adjustRightInd w:val="0"/>
    </w:pPr>
    <w:rPr>
      <w:rFonts w:ascii="Univers" w:hAnsi="Univers" w:cs="Univers"/>
      <w:color w:val="000000"/>
      <w:sz w:val="24"/>
      <w:szCs w:val="24"/>
      <w:lang w:val="es-CO" w:eastAsia="en-US"/>
    </w:rPr>
  </w:style>
</w:styles>
</file>

<file path=word/webSettings.xml><?xml version="1.0" encoding="utf-8"?>
<w:webSettings xmlns:r="http://schemas.openxmlformats.org/officeDocument/2006/relationships" xmlns:w="http://schemas.openxmlformats.org/wordprocessingml/2006/main">
  <w:divs>
    <w:div w:id="877350817">
      <w:marLeft w:val="0"/>
      <w:marRight w:val="0"/>
      <w:marTop w:val="0"/>
      <w:marBottom w:val="0"/>
      <w:divBdr>
        <w:top w:val="none" w:sz="0" w:space="0" w:color="auto"/>
        <w:left w:val="none" w:sz="0" w:space="0" w:color="auto"/>
        <w:bottom w:val="none" w:sz="0" w:space="0" w:color="auto"/>
        <w:right w:val="none" w:sz="0" w:space="0" w:color="auto"/>
      </w:divBdr>
    </w:div>
    <w:div w:id="877350818">
      <w:marLeft w:val="0"/>
      <w:marRight w:val="0"/>
      <w:marTop w:val="0"/>
      <w:marBottom w:val="0"/>
      <w:divBdr>
        <w:top w:val="none" w:sz="0" w:space="0" w:color="auto"/>
        <w:left w:val="none" w:sz="0" w:space="0" w:color="auto"/>
        <w:bottom w:val="none" w:sz="0" w:space="0" w:color="auto"/>
        <w:right w:val="none" w:sz="0" w:space="0" w:color="auto"/>
      </w:divBdr>
    </w:div>
    <w:div w:id="877350820">
      <w:marLeft w:val="0"/>
      <w:marRight w:val="0"/>
      <w:marTop w:val="0"/>
      <w:marBottom w:val="0"/>
      <w:divBdr>
        <w:top w:val="none" w:sz="0" w:space="0" w:color="auto"/>
        <w:left w:val="none" w:sz="0" w:space="0" w:color="auto"/>
        <w:bottom w:val="none" w:sz="0" w:space="0" w:color="auto"/>
        <w:right w:val="none" w:sz="0" w:space="0" w:color="auto"/>
      </w:divBdr>
    </w:div>
    <w:div w:id="877350825">
      <w:marLeft w:val="0"/>
      <w:marRight w:val="0"/>
      <w:marTop w:val="0"/>
      <w:marBottom w:val="0"/>
      <w:divBdr>
        <w:top w:val="none" w:sz="0" w:space="0" w:color="auto"/>
        <w:left w:val="none" w:sz="0" w:space="0" w:color="auto"/>
        <w:bottom w:val="none" w:sz="0" w:space="0" w:color="auto"/>
        <w:right w:val="none" w:sz="0" w:space="0" w:color="auto"/>
      </w:divBdr>
    </w:div>
    <w:div w:id="877350827">
      <w:marLeft w:val="0"/>
      <w:marRight w:val="0"/>
      <w:marTop w:val="0"/>
      <w:marBottom w:val="0"/>
      <w:divBdr>
        <w:top w:val="none" w:sz="0" w:space="0" w:color="auto"/>
        <w:left w:val="none" w:sz="0" w:space="0" w:color="auto"/>
        <w:bottom w:val="none" w:sz="0" w:space="0" w:color="auto"/>
        <w:right w:val="none" w:sz="0" w:space="0" w:color="auto"/>
      </w:divBdr>
      <w:divsChild>
        <w:div w:id="877350848">
          <w:marLeft w:val="0"/>
          <w:marRight w:val="0"/>
          <w:marTop w:val="300"/>
          <w:marBottom w:val="300"/>
          <w:divBdr>
            <w:top w:val="none" w:sz="0" w:space="0" w:color="auto"/>
            <w:left w:val="none" w:sz="0" w:space="0" w:color="auto"/>
            <w:bottom w:val="none" w:sz="0" w:space="0" w:color="auto"/>
            <w:right w:val="none" w:sz="0" w:space="0" w:color="auto"/>
          </w:divBdr>
          <w:divsChild>
            <w:div w:id="8773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50828">
      <w:marLeft w:val="0"/>
      <w:marRight w:val="0"/>
      <w:marTop w:val="0"/>
      <w:marBottom w:val="0"/>
      <w:divBdr>
        <w:top w:val="none" w:sz="0" w:space="0" w:color="auto"/>
        <w:left w:val="none" w:sz="0" w:space="0" w:color="auto"/>
        <w:bottom w:val="none" w:sz="0" w:space="0" w:color="auto"/>
        <w:right w:val="none" w:sz="0" w:space="0" w:color="auto"/>
      </w:divBdr>
      <w:divsChild>
        <w:div w:id="877350838">
          <w:marLeft w:val="0"/>
          <w:marRight w:val="0"/>
          <w:marTop w:val="0"/>
          <w:marBottom w:val="0"/>
          <w:divBdr>
            <w:top w:val="none" w:sz="0" w:space="0" w:color="auto"/>
            <w:left w:val="none" w:sz="0" w:space="0" w:color="auto"/>
            <w:bottom w:val="none" w:sz="0" w:space="0" w:color="auto"/>
            <w:right w:val="none" w:sz="0" w:space="0" w:color="auto"/>
          </w:divBdr>
          <w:divsChild>
            <w:div w:id="877350822">
              <w:marLeft w:val="0"/>
              <w:marRight w:val="0"/>
              <w:marTop w:val="0"/>
              <w:marBottom w:val="0"/>
              <w:divBdr>
                <w:top w:val="none" w:sz="0" w:space="0" w:color="auto"/>
                <w:left w:val="none" w:sz="0" w:space="0" w:color="auto"/>
                <w:bottom w:val="none" w:sz="0" w:space="0" w:color="auto"/>
                <w:right w:val="none" w:sz="0" w:space="0" w:color="auto"/>
              </w:divBdr>
              <w:divsChild>
                <w:div w:id="87735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350829">
      <w:marLeft w:val="0"/>
      <w:marRight w:val="0"/>
      <w:marTop w:val="0"/>
      <w:marBottom w:val="0"/>
      <w:divBdr>
        <w:top w:val="none" w:sz="0" w:space="0" w:color="auto"/>
        <w:left w:val="none" w:sz="0" w:space="0" w:color="auto"/>
        <w:bottom w:val="none" w:sz="0" w:space="0" w:color="auto"/>
        <w:right w:val="none" w:sz="0" w:space="0" w:color="auto"/>
      </w:divBdr>
      <w:divsChild>
        <w:div w:id="877350852">
          <w:marLeft w:val="0"/>
          <w:marRight w:val="0"/>
          <w:marTop w:val="0"/>
          <w:marBottom w:val="0"/>
          <w:divBdr>
            <w:top w:val="none" w:sz="0" w:space="0" w:color="auto"/>
            <w:left w:val="none" w:sz="0" w:space="0" w:color="auto"/>
            <w:bottom w:val="none" w:sz="0" w:space="0" w:color="auto"/>
            <w:right w:val="none" w:sz="0" w:space="0" w:color="auto"/>
          </w:divBdr>
          <w:divsChild>
            <w:div w:id="877350831">
              <w:marLeft w:val="0"/>
              <w:marRight w:val="0"/>
              <w:marTop w:val="0"/>
              <w:marBottom w:val="0"/>
              <w:divBdr>
                <w:top w:val="none" w:sz="0" w:space="0" w:color="auto"/>
                <w:left w:val="none" w:sz="0" w:space="0" w:color="auto"/>
                <w:bottom w:val="none" w:sz="0" w:space="0" w:color="auto"/>
                <w:right w:val="none" w:sz="0" w:space="0" w:color="auto"/>
              </w:divBdr>
              <w:divsChild>
                <w:div w:id="877350850">
                  <w:marLeft w:val="0"/>
                  <w:marRight w:val="0"/>
                  <w:marTop w:val="0"/>
                  <w:marBottom w:val="0"/>
                  <w:divBdr>
                    <w:top w:val="none" w:sz="0" w:space="0" w:color="auto"/>
                    <w:left w:val="none" w:sz="0" w:space="0" w:color="auto"/>
                    <w:bottom w:val="none" w:sz="0" w:space="0" w:color="auto"/>
                    <w:right w:val="none" w:sz="0" w:space="0" w:color="auto"/>
                  </w:divBdr>
                  <w:divsChild>
                    <w:div w:id="877350830">
                      <w:marLeft w:val="0"/>
                      <w:marRight w:val="0"/>
                      <w:marTop w:val="0"/>
                      <w:marBottom w:val="0"/>
                      <w:divBdr>
                        <w:top w:val="none" w:sz="0" w:space="0" w:color="auto"/>
                        <w:left w:val="none" w:sz="0" w:space="0" w:color="auto"/>
                        <w:bottom w:val="none" w:sz="0" w:space="0" w:color="auto"/>
                        <w:right w:val="none" w:sz="0" w:space="0" w:color="auto"/>
                      </w:divBdr>
                      <w:divsChild>
                        <w:div w:id="87735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350833">
      <w:marLeft w:val="0"/>
      <w:marRight w:val="0"/>
      <w:marTop w:val="0"/>
      <w:marBottom w:val="0"/>
      <w:divBdr>
        <w:top w:val="none" w:sz="0" w:space="0" w:color="auto"/>
        <w:left w:val="none" w:sz="0" w:space="0" w:color="auto"/>
        <w:bottom w:val="none" w:sz="0" w:space="0" w:color="auto"/>
        <w:right w:val="none" w:sz="0" w:space="0" w:color="auto"/>
      </w:divBdr>
      <w:divsChild>
        <w:div w:id="877350837">
          <w:marLeft w:val="0"/>
          <w:marRight w:val="0"/>
          <w:marTop w:val="0"/>
          <w:marBottom w:val="0"/>
          <w:divBdr>
            <w:top w:val="none" w:sz="0" w:space="0" w:color="auto"/>
            <w:left w:val="none" w:sz="0" w:space="0" w:color="auto"/>
            <w:bottom w:val="none" w:sz="0" w:space="0" w:color="auto"/>
            <w:right w:val="none" w:sz="0" w:space="0" w:color="auto"/>
          </w:divBdr>
          <w:divsChild>
            <w:div w:id="877350823">
              <w:marLeft w:val="0"/>
              <w:marRight w:val="0"/>
              <w:marTop w:val="0"/>
              <w:marBottom w:val="0"/>
              <w:divBdr>
                <w:top w:val="none" w:sz="0" w:space="0" w:color="auto"/>
                <w:left w:val="none" w:sz="0" w:space="0" w:color="auto"/>
                <w:bottom w:val="none" w:sz="0" w:space="0" w:color="auto"/>
                <w:right w:val="none" w:sz="0" w:space="0" w:color="auto"/>
              </w:divBdr>
              <w:divsChild>
                <w:div w:id="87735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350839">
      <w:marLeft w:val="0"/>
      <w:marRight w:val="0"/>
      <w:marTop w:val="0"/>
      <w:marBottom w:val="0"/>
      <w:divBdr>
        <w:top w:val="none" w:sz="0" w:space="0" w:color="auto"/>
        <w:left w:val="none" w:sz="0" w:space="0" w:color="auto"/>
        <w:bottom w:val="none" w:sz="0" w:space="0" w:color="auto"/>
        <w:right w:val="none" w:sz="0" w:space="0" w:color="auto"/>
      </w:divBdr>
    </w:div>
    <w:div w:id="877350844">
      <w:marLeft w:val="0"/>
      <w:marRight w:val="0"/>
      <w:marTop w:val="0"/>
      <w:marBottom w:val="0"/>
      <w:divBdr>
        <w:top w:val="none" w:sz="0" w:space="0" w:color="auto"/>
        <w:left w:val="none" w:sz="0" w:space="0" w:color="auto"/>
        <w:bottom w:val="none" w:sz="0" w:space="0" w:color="auto"/>
        <w:right w:val="none" w:sz="0" w:space="0" w:color="auto"/>
      </w:divBdr>
      <w:divsChild>
        <w:div w:id="877350835">
          <w:marLeft w:val="0"/>
          <w:marRight w:val="0"/>
          <w:marTop w:val="0"/>
          <w:marBottom w:val="0"/>
          <w:divBdr>
            <w:top w:val="none" w:sz="0" w:space="0" w:color="auto"/>
            <w:left w:val="none" w:sz="0" w:space="0" w:color="auto"/>
            <w:bottom w:val="none" w:sz="0" w:space="0" w:color="auto"/>
            <w:right w:val="none" w:sz="0" w:space="0" w:color="auto"/>
          </w:divBdr>
          <w:divsChild>
            <w:div w:id="877350846">
              <w:marLeft w:val="0"/>
              <w:marRight w:val="0"/>
              <w:marTop w:val="0"/>
              <w:marBottom w:val="0"/>
              <w:divBdr>
                <w:top w:val="none" w:sz="0" w:space="0" w:color="auto"/>
                <w:left w:val="none" w:sz="0" w:space="0" w:color="auto"/>
                <w:bottom w:val="none" w:sz="0" w:space="0" w:color="auto"/>
                <w:right w:val="none" w:sz="0" w:space="0" w:color="auto"/>
              </w:divBdr>
              <w:divsChild>
                <w:div w:id="877350845">
                  <w:marLeft w:val="0"/>
                  <w:marRight w:val="0"/>
                  <w:marTop w:val="300"/>
                  <w:marBottom w:val="300"/>
                  <w:divBdr>
                    <w:top w:val="none" w:sz="0" w:space="0" w:color="auto"/>
                    <w:left w:val="none" w:sz="0" w:space="0" w:color="auto"/>
                    <w:bottom w:val="none" w:sz="0" w:space="0" w:color="auto"/>
                    <w:right w:val="none" w:sz="0" w:space="0" w:color="auto"/>
                  </w:divBdr>
                  <w:divsChild>
                    <w:div w:id="877350834">
                      <w:marLeft w:val="0"/>
                      <w:marRight w:val="0"/>
                      <w:marTop w:val="0"/>
                      <w:marBottom w:val="0"/>
                      <w:divBdr>
                        <w:top w:val="none" w:sz="0" w:space="0" w:color="auto"/>
                        <w:left w:val="none" w:sz="0" w:space="0" w:color="auto"/>
                        <w:bottom w:val="none" w:sz="0" w:space="0" w:color="auto"/>
                        <w:right w:val="none" w:sz="0" w:space="0" w:color="auto"/>
                      </w:divBdr>
                      <w:divsChild>
                        <w:div w:id="877350821">
                          <w:marLeft w:val="0"/>
                          <w:marRight w:val="0"/>
                          <w:marTop w:val="0"/>
                          <w:marBottom w:val="0"/>
                          <w:divBdr>
                            <w:top w:val="none" w:sz="0" w:space="0" w:color="auto"/>
                            <w:left w:val="none" w:sz="0" w:space="0" w:color="auto"/>
                            <w:bottom w:val="none" w:sz="0" w:space="0" w:color="auto"/>
                            <w:right w:val="none" w:sz="0" w:space="0" w:color="auto"/>
                          </w:divBdr>
                          <w:divsChild>
                            <w:div w:id="8773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7350847">
      <w:marLeft w:val="0"/>
      <w:marRight w:val="0"/>
      <w:marTop w:val="0"/>
      <w:marBottom w:val="0"/>
      <w:divBdr>
        <w:top w:val="none" w:sz="0" w:space="0" w:color="auto"/>
        <w:left w:val="none" w:sz="0" w:space="0" w:color="auto"/>
        <w:bottom w:val="none" w:sz="0" w:space="0" w:color="auto"/>
        <w:right w:val="none" w:sz="0" w:space="0" w:color="auto"/>
      </w:divBdr>
      <w:divsChild>
        <w:div w:id="877350843">
          <w:marLeft w:val="0"/>
          <w:marRight w:val="0"/>
          <w:marTop w:val="0"/>
          <w:marBottom w:val="0"/>
          <w:divBdr>
            <w:top w:val="none" w:sz="0" w:space="0" w:color="auto"/>
            <w:left w:val="none" w:sz="0" w:space="0" w:color="auto"/>
            <w:bottom w:val="none" w:sz="0" w:space="0" w:color="auto"/>
            <w:right w:val="none" w:sz="0" w:space="0" w:color="auto"/>
          </w:divBdr>
          <w:divsChild>
            <w:div w:id="877350819">
              <w:marLeft w:val="0"/>
              <w:marRight w:val="0"/>
              <w:marTop w:val="0"/>
              <w:marBottom w:val="0"/>
              <w:divBdr>
                <w:top w:val="none" w:sz="0" w:space="0" w:color="auto"/>
                <w:left w:val="none" w:sz="0" w:space="0" w:color="auto"/>
                <w:bottom w:val="none" w:sz="0" w:space="0" w:color="auto"/>
                <w:right w:val="none" w:sz="0" w:space="0" w:color="auto"/>
              </w:divBdr>
              <w:divsChild>
                <w:div w:id="877350840">
                  <w:marLeft w:val="0"/>
                  <w:marRight w:val="0"/>
                  <w:marTop w:val="0"/>
                  <w:marBottom w:val="0"/>
                  <w:divBdr>
                    <w:top w:val="none" w:sz="0" w:space="0" w:color="auto"/>
                    <w:left w:val="none" w:sz="0" w:space="0" w:color="auto"/>
                    <w:bottom w:val="none" w:sz="0" w:space="0" w:color="auto"/>
                    <w:right w:val="none" w:sz="0" w:space="0" w:color="auto"/>
                  </w:divBdr>
                  <w:divsChild>
                    <w:div w:id="877350842">
                      <w:marLeft w:val="0"/>
                      <w:marRight w:val="0"/>
                      <w:marTop w:val="0"/>
                      <w:marBottom w:val="0"/>
                      <w:divBdr>
                        <w:top w:val="none" w:sz="0" w:space="0" w:color="auto"/>
                        <w:left w:val="none" w:sz="0" w:space="0" w:color="auto"/>
                        <w:bottom w:val="none" w:sz="0" w:space="0" w:color="auto"/>
                        <w:right w:val="none" w:sz="0" w:space="0" w:color="auto"/>
                      </w:divBdr>
                      <w:divsChild>
                        <w:div w:id="877350826">
                          <w:marLeft w:val="0"/>
                          <w:marRight w:val="0"/>
                          <w:marTop w:val="0"/>
                          <w:marBottom w:val="0"/>
                          <w:divBdr>
                            <w:top w:val="none" w:sz="0" w:space="0" w:color="auto"/>
                            <w:left w:val="none" w:sz="0" w:space="0" w:color="auto"/>
                            <w:bottom w:val="none" w:sz="0" w:space="0" w:color="auto"/>
                            <w:right w:val="none" w:sz="0" w:space="0" w:color="auto"/>
                          </w:divBdr>
                        </w:div>
                        <w:div w:id="877350832">
                          <w:marLeft w:val="0"/>
                          <w:marRight w:val="0"/>
                          <w:marTop w:val="0"/>
                          <w:marBottom w:val="0"/>
                          <w:divBdr>
                            <w:top w:val="none" w:sz="0" w:space="0" w:color="auto"/>
                            <w:left w:val="none" w:sz="0" w:space="0" w:color="auto"/>
                            <w:bottom w:val="none" w:sz="0" w:space="0" w:color="auto"/>
                            <w:right w:val="none" w:sz="0" w:space="0" w:color="auto"/>
                          </w:divBdr>
                        </w:div>
                        <w:div w:id="877350849">
                          <w:marLeft w:val="0"/>
                          <w:marRight w:val="0"/>
                          <w:marTop w:val="0"/>
                          <w:marBottom w:val="0"/>
                          <w:divBdr>
                            <w:top w:val="none" w:sz="0" w:space="0" w:color="auto"/>
                            <w:left w:val="none" w:sz="0" w:space="0" w:color="auto"/>
                            <w:bottom w:val="none" w:sz="0" w:space="0" w:color="auto"/>
                            <w:right w:val="none" w:sz="0" w:space="0" w:color="auto"/>
                          </w:divBdr>
                        </w:div>
                        <w:div w:id="87735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nocheyniebla.org/files/u1/41/Niebla41.pdf" TargetMode="External"/><Relationship Id="rId2" Type="http://schemas.openxmlformats.org/officeDocument/2006/relationships/hyperlink" Target="http://www.derechoshumanos.gov.co/Observatorio/Paginas/Observatorio.aspx" TargetMode="External"/><Relationship Id="rId1" Type="http://schemas.openxmlformats.org/officeDocument/2006/relationships/hyperlink" Target="http://www.oas.org/es/acerca/quienes_somos.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709</TotalTime>
  <Pages>14</Pages>
  <Words>2949</Words>
  <Characters>16221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Andres</dc:creator>
  <cp:keywords/>
  <dc:description/>
  <cp:lastModifiedBy>pablo</cp:lastModifiedBy>
  <cp:revision>26</cp:revision>
  <dcterms:created xsi:type="dcterms:W3CDTF">2011-08-25T23:48:00Z</dcterms:created>
  <dcterms:modified xsi:type="dcterms:W3CDTF">2012-08-14T14:41:00Z</dcterms:modified>
</cp:coreProperties>
</file>