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6F29" w:rsidRDefault="00C76F29" w:rsidP="00C76F29">
      <w:pPr>
        <w:spacing w:after="0" w:line="240" w:lineRule="auto"/>
        <w:rPr>
          <w:rFonts w:ascii="Times New Roman" w:eastAsia="Times New Roman" w:hAnsi="Times New Roman" w:cs="Times New Roman"/>
          <w:sz w:val="24"/>
          <w:szCs w:val="24"/>
          <w:lang w:eastAsia="es-VE"/>
        </w:rPr>
      </w:pPr>
    </w:p>
    <w:p w:rsidR="00C76F29" w:rsidRDefault="00C76F29" w:rsidP="00C76F29">
      <w:pPr>
        <w:spacing w:after="0" w:line="240" w:lineRule="auto"/>
        <w:rPr>
          <w:rFonts w:ascii="Times New Roman" w:eastAsia="Times New Roman" w:hAnsi="Times New Roman" w:cs="Times New Roman"/>
          <w:sz w:val="24"/>
          <w:szCs w:val="24"/>
          <w:lang w:eastAsia="es-VE"/>
        </w:rPr>
      </w:pPr>
    </w:p>
    <w:p w:rsidR="00C76F29" w:rsidRPr="00C76F29" w:rsidRDefault="00C76F29" w:rsidP="00C76F29">
      <w:pPr>
        <w:spacing w:after="0" w:line="240" w:lineRule="auto"/>
        <w:rPr>
          <w:rFonts w:ascii="Times New Roman" w:eastAsia="Times New Roman" w:hAnsi="Times New Roman" w:cs="Times New Roman"/>
          <w:sz w:val="24"/>
          <w:szCs w:val="24"/>
          <w:lang w:eastAsia="es-VE"/>
        </w:rPr>
      </w:pPr>
    </w:p>
    <w:p w:rsidR="00C76F29" w:rsidRPr="00E14FB4" w:rsidRDefault="00C76F29" w:rsidP="00C76F29">
      <w:pPr>
        <w:spacing w:before="100" w:beforeAutospacing="1" w:after="100" w:afterAutospacing="1" w:line="240" w:lineRule="auto"/>
        <w:outlineLvl w:val="0"/>
        <w:rPr>
          <w:rFonts w:ascii="Arial" w:eastAsia="Times New Roman" w:hAnsi="Arial" w:cs="Arial"/>
          <w:bCs/>
          <w:kern w:val="36"/>
          <w:sz w:val="24"/>
          <w:szCs w:val="24"/>
          <w:lang w:eastAsia="es-VE"/>
        </w:rPr>
      </w:pPr>
      <w:r w:rsidRPr="00E14FB4">
        <w:rPr>
          <w:rFonts w:ascii="Arial" w:eastAsia="Times New Roman" w:hAnsi="Arial" w:cs="Arial"/>
          <w:bCs/>
          <w:kern w:val="36"/>
          <w:sz w:val="24"/>
          <w:szCs w:val="24"/>
          <w:lang w:eastAsia="es-VE"/>
        </w:rPr>
        <w:t>El Amparo Constitucional</w:t>
      </w:r>
    </w:p>
    <w:p w:rsidR="00C76F29" w:rsidRPr="00C76F29" w:rsidRDefault="00C76F29" w:rsidP="00C76F29">
      <w:pPr>
        <w:spacing w:before="100" w:beforeAutospacing="1" w:after="100" w:afterAutospacing="1" w:line="360" w:lineRule="auto"/>
        <w:ind w:firstLine="284"/>
        <w:jc w:val="both"/>
        <w:rPr>
          <w:rFonts w:ascii="Times New Roman" w:eastAsia="Times New Roman" w:hAnsi="Times New Roman" w:cs="Times New Roman"/>
          <w:sz w:val="24"/>
          <w:szCs w:val="24"/>
          <w:lang w:eastAsia="es-VE"/>
        </w:rPr>
      </w:pPr>
      <w:r w:rsidRPr="00C76F29">
        <w:rPr>
          <w:rFonts w:ascii="Arial" w:eastAsia="Times New Roman" w:hAnsi="Arial" w:cs="Arial"/>
          <w:b/>
          <w:bCs/>
          <w:color w:val="000000"/>
          <w:sz w:val="24"/>
          <w:szCs w:val="24"/>
          <w:lang w:eastAsia="es-VE"/>
        </w:rPr>
        <w:t>1. Concepto</w:t>
      </w:r>
    </w:p>
    <w:p w:rsidR="00C76F29" w:rsidRPr="00C76F29" w:rsidRDefault="00C76F29" w:rsidP="00C76F29">
      <w:pPr>
        <w:spacing w:before="100" w:beforeAutospacing="1" w:after="100" w:afterAutospacing="1" w:line="360" w:lineRule="auto"/>
        <w:ind w:firstLine="284"/>
        <w:jc w:val="both"/>
        <w:rPr>
          <w:rFonts w:ascii="Times New Roman" w:eastAsia="Times New Roman" w:hAnsi="Times New Roman" w:cs="Times New Roman"/>
          <w:sz w:val="24"/>
          <w:szCs w:val="24"/>
          <w:lang w:eastAsia="es-VE"/>
        </w:rPr>
      </w:pPr>
      <w:r w:rsidRPr="00C76F29">
        <w:rPr>
          <w:rFonts w:ascii="Arial" w:eastAsia="Times New Roman" w:hAnsi="Arial" w:cs="Arial"/>
          <w:color w:val="000000"/>
          <w:sz w:val="24"/>
          <w:szCs w:val="24"/>
          <w:lang w:eastAsia="es-VE"/>
        </w:rPr>
        <w:t xml:space="preserve">El amparo puede definirse como aquel procedimiento de carácter jurisdiccional, extraordinario y de gran flexibilidad formal para la protección de los derechos consagrados constitucionalmente, </w:t>
      </w:r>
      <w:proofErr w:type="gramStart"/>
      <w:r w:rsidRPr="00C76F29">
        <w:rPr>
          <w:rFonts w:ascii="Arial" w:eastAsia="Times New Roman" w:hAnsi="Arial" w:cs="Arial"/>
          <w:color w:val="000000"/>
          <w:sz w:val="24"/>
          <w:szCs w:val="24"/>
          <w:lang w:eastAsia="es-VE"/>
        </w:rPr>
        <w:t>tendente</w:t>
      </w:r>
      <w:proofErr w:type="gramEnd"/>
      <w:r w:rsidRPr="00C76F29">
        <w:rPr>
          <w:rFonts w:ascii="Arial" w:eastAsia="Times New Roman" w:hAnsi="Arial" w:cs="Arial"/>
          <w:color w:val="000000"/>
          <w:sz w:val="24"/>
          <w:szCs w:val="24"/>
          <w:lang w:eastAsia="es-VE"/>
        </w:rPr>
        <w:t xml:space="preserve"> a lograr el restablecimiento de los mismos de una manera efectiva e inmediata.</w:t>
      </w:r>
    </w:p>
    <w:p w:rsidR="00C76F29" w:rsidRPr="00C76F29" w:rsidRDefault="00C76F29" w:rsidP="00C76F29">
      <w:pPr>
        <w:spacing w:before="100" w:beforeAutospacing="1" w:after="100" w:afterAutospacing="1" w:line="360" w:lineRule="auto"/>
        <w:ind w:firstLine="284"/>
        <w:jc w:val="both"/>
        <w:rPr>
          <w:rFonts w:ascii="Times New Roman" w:eastAsia="Times New Roman" w:hAnsi="Times New Roman" w:cs="Times New Roman"/>
          <w:sz w:val="24"/>
          <w:szCs w:val="24"/>
          <w:lang w:eastAsia="es-VE"/>
        </w:rPr>
      </w:pPr>
      <w:r w:rsidRPr="00C76F29">
        <w:rPr>
          <w:rFonts w:ascii="Times New Roman" w:eastAsia="Times New Roman" w:hAnsi="Times New Roman" w:cs="Times New Roman"/>
          <w:sz w:val="24"/>
          <w:szCs w:val="24"/>
          <w:lang w:eastAsia="es-VE"/>
        </w:rPr>
        <w:t> </w:t>
      </w:r>
      <w:r w:rsidRPr="00C76F29">
        <w:rPr>
          <w:rFonts w:ascii="Arial" w:eastAsia="Times New Roman" w:hAnsi="Arial" w:cs="Arial"/>
          <w:color w:val="000000"/>
          <w:sz w:val="24"/>
          <w:szCs w:val="24"/>
          <w:lang w:eastAsia="es-VE"/>
        </w:rPr>
        <w:t>Establece el artículo 27 de la Constitución:</w:t>
      </w:r>
    </w:p>
    <w:p w:rsidR="00C76F29" w:rsidRPr="00C76F29" w:rsidRDefault="00C76F29" w:rsidP="00C76F29">
      <w:pPr>
        <w:spacing w:after="0" w:line="240" w:lineRule="auto"/>
        <w:ind w:left="567" w:right="567"/>
        <w:jc w:val="both"/>
        <w:rPr>
          <w:rFonts w:ascii="Times New Roman" w:eastAsia="Times New Roman" w:hAnsi="Times New Roman" w:cs="Times New Roman"/>
          <w:sz w:val="24"/>
          <w:szCs w:val="24"/>
          <w:lang w:eastAsia="es-VE"/>
        </w:rPr>
      </w:pPr>
      <w:r w:rsidRPr="00C76F29">
        <w:rPr>
          <w:rFonts w:ascii="Arial" w:eastAsia="Times New Roman" w:hAnsi="Arial" w:cs="Arial"/>
          <w:color w:val="000000"/>
          <w:sz w:val="24"/>
          <w:szCs w:val="24"/>
          <w:lang w:val="es-ES_tradnl" w:eastAsia="es-VE"/>
        </w:rPr>
        <w:t>Artículo 27. Toda persona tiene derecho a ser amparada por los tribunales en el goce y ejercicio de los derechos y garantías constitucionales, aun de aquellos inherentes a la persona que no figuren expresamente en esta Constitución o en los instrumentos internacionales sobre derechos humanos. (…)</w:t>
      </w:r>
    </w:p>
    <w:p w:rsidR="00C76F29" w:rsidRPr="00C76F29" w:rsidRDefault="00C76F29" w:rsidP="00C76F29">
      <w:pPr>
        <w:spacing w:before="100" w:beforeAutospacing="1" w:after="100" w:afterAutospacing="1" w:line="360" w:lineRule="auto"/>
        <w:ind w:firstLine="284"/>
        <w:jc w:val="both"/>
        <w:rPr>
          <w:rFonts w:ascii="Times New Roman" w:eastAsia="Times New Roman" w:hAnsi="Times New Roman" w:cs="Times New Roman"/>
          <w:sz w:val="24"/>
          <w:szCs w:val="24"/>
          <w:lang w:eastAsia="es-VE"/>
        </w:rPr>
      </w:pPr>
      <w:r w:rsidRPr="00C76F29">
        <w:rPr>
          <w:rFonts w:ascii="Arial" w:eastAsia="Times New Roman" w:hAnsi="Arial" w:cs="Arial"/>
          <w:color w:val="000000"/>
          <w:sz w:val="24"/>
          <w:szCs w:val="24"/>
          <w:lang w:eastAsia="es-VE"/>
        </w:rPr>
        <w:t>La acción de amparo constitucional es un mecanismo extraordinario destinado a restablecer los derechos y garantías de rango constitucional vulnerados o amenazados, constituyendo una vía sumaria, breve y eficaz, cuyo empleo no está permitido si el quejoso dispone de otros medio</w:t>
      </w:r>
      <w:bookmarkStart w:id="0" w:name="_GoBack"/>
      <w:bookmarkEnd w:id="0"/>
      <w:r w:rsidRPr="00C76F29">
        <w:rPr>
          <w:rFonts w:ascii="Arial" w:eastAsia="Times New Roman" w:hAnsi="Arial" w:cs="Arial"/>
          <w:color w:val="000000"/>
          <w:sz w:val="24"/>
          <w:szCs w:val="24"/>
          <w:lang w:eastAsia="es-VE"/>
        </w:rPr>
        <w:t>s ordinarios idóneos para proteger sus derechos.</w:t>
      </w:r>
    </w:p>
    <w:p w:rsidR="00C76F29" w:rsidRPr="00C76F29" w:rsidRDefault="00C76F29" w:rsidP="00C76F29">
      <w:pPr>
        <w:spacing w:before="100" w:beforeAutospacing="1" w:after="100" w:afterAutospacing="1" w:line="360" w:lineRule="auto"/>
        <w:ind w:firstLine="284"/>
        <w:jc w:val="both"/>
        <w:rPr>
          <w:rFonts w:ascii="Times New Roman" w:eastAsia="Times New Roman" w:hAnsi="Times New Roman" w:cs="Times New Roman"/>
          <w:sz w:val="24"/>
          <w:szCs w:val="24"/>
          <w:lang w:eastAsia="es-VE"/>
        </w:rPr>
      </w:pPr>
      <w:r w:rsidRPr="00C76F29">
        <w:rPr>
          <w:rFonts w:ascii="Times New Roman" w:eastAsia="Times New Roman" w:hAnsi="Times New Roman" w:cs="Times New Roman"/>
          <w:sz w:val="24"/>
          <w:szCs w:val="24"/>
          <w:lang w:eastAsia="es-VE"/>
        </w:rPr>
        <w:t> </w:t>
      </w:r>
      <w:r w:rsidRPr="00C76F29">
        <w:rPr>
          <w:rFonts w:ascii="Arial" w:eastAsia="Times New Roman" w:hAnsi="Arial" w:cs="Arial"/>
          <w:color w:val="000000"/>
          <w:sz w:val="24"/>
          <w:szCs w:val="24"/>
          <w:lang w:eastAsia="es-VE"/>
        </w:rPr>
        <w:t xml:space="preserve">En este orden de ideas, los autores de la obra “La acción de amparo Constitucional y sus modalidades judiciales”, Humberto Enrique Tercero Bello Tabares y </w:t>
      </w:r>
      <w:proofErr w:type="spellStart"/>
      <w:r w:rsidRPr="00C76F29">
        <w:rPr>
          <w:rFonts w:ascii="Arial" w:eastAsia="Times New Roman" w:hAnsi="Arial" w:cs="Arial"/>
          <w:color w:val="000000"/>
          <w:sz w:val="24"/>
          <w:szCs w:val="24"/>
          <w:lang w:eastAsia="es-VE"/>
        </w:rPr>
        <w:t>Dorgi</w:t>
      </w:r>
      <w:proofErr w:type="spellEnd"/>
      <w:r w:rsidRPr="00C76F29">
        <w:rPr>
          <w:rFonts w:ascii="Arial" w:eastAsia="Times New Roman" w:hAnsi="Arial" w:cs="Arial"/>
          <w:color w:val="000000"/>
          <w:sz w:val="24"/>
          <w:szCs w:val="24"/>
          <w:lang w:eastAsia="es-VE"/>
        </w:rPr>
        <w:t xml:space="preserve"> </w:t>
      </w:r>
      <w:proofErr w:type="spellStart"/>
      <w:r w:rsidRPr="00C76F29">
        <w:rPr>
          <w:rFonts w:ascii="Arial" w:eastAsia="Times New Roman" w:hAnsi="Arial" w:cs="Arial"/>
          <w:color w:val="000000"/>
          <w:sz w:val="24"/>
          <w:szCs w:val="24"/>
          <w:lang w:eastAsia="es-VE"/>
        </w:rPr>
        <w:t>Doralys</w:t>
      </w:r>
      <w:proofErr w:type="spellEnd"/>
      <w:r w:rsidRPr="00C76F29">
        <w:rPr>
          <w:rFonts w:ascii="Arial" w:eastAsia="Times New Roman" w:hAnsi="Arial" w:cs="Arial"/>
          <w:color w:val="000000"/>
          <w:sz w:val="24"/>
          <w:szCs w:val="24"/>
          <w:lang w:eastAsia="es-VE"/>
        </w:rPr>
        <w:t xml:space="preserve"> Jiménez Ramos, (p. 41), en cuanto a la definición de amparo, comentan: “…Resumiendo y ofreciendo una definición del amparo constitucional, podemos decir que se trata de una acción de carácter extraordinario, cuya procedencia se limita a la violación o amenaza de violación del solicitante, de manera inmediata, flagrante, de derechos constitucionales, derechos subjetivos de rango constitucional o previstos en instrumentos internacionales sobre derechos humanos, para cuyo restablecimiento existen vías ordinarias, eficaces, idóneas y operantes”.</w:t>
      </w:r>
    </w:p>
    <w:p w:rsidR="00C76F29" w:rsidRPr="00C76F29" w:rsidRDefault="00C76F29" w:rsidP="00C76F29">
      <w:pPr>
        <w:spacing w:before="100" w:beforeAutospacing="1" w:after="100" w:afterAutospacing="1" w:line="360" w:lineRule="auto"/>
        <w:ind w:firstLine="284"/>
        <w:jc w:val="both"/>
        <w:rPr>
          <w:rFonts w:ascii="Times New Roman" w:eastAsia="Times New Roman" w:hAnsi="Times New Roman" w:cs="Times New Roman"/>
          <w:sz w:val="24"/>
          <w:szCs w:val="24"/>
          <w:lang w:eastAsia="es-VE"/>
        </w:rPr>
      </w:pPr>
      <w:r w:rsidRPr="00C76F29">
        <w:rPr>
          <w:rFonts w:ascii="Times New Roman" w:eastAsia="Times New Roman" w:hAnsi="Times New Roman" w:cs="Times New Roman"/>
          <w:sz w:val="24"/>
          <w:szCs w:val="24"/>
          <w:lang w:eastAsia="es-VE"/>
        </w:rPr>
        <w:lastRenderedPageBreak/>
        <w:t> </w:t>
      </w:r>
      <w:r w:rsidRPr="00C76F29">
        <w:rPr>
          <w:rFonts w:ascii="Arial" w:eastAsia="Times New Roman" w:hAnsi="Arial" w:cs="Arial"/>
          <w:color w:val="000000"/>
          <w:sz w:val="24"/>
          <w:szCs w:val="24"/>
          <w:lang w:eastAsia="es-VE"/>
        </w:rPr>
        <w:t>De esta definición se pueden destacar la siguiente característica: 1. Se trata de una acción que tiende a tutelar derechos constitucionales vulnerados o amenazados de vulneración, lo que se traduce en que no se trata ni de un recurso ni un derecho, estando más dentro del mundo de garantías. …”</w:t>
      </w:r>
      <w:proofErr w:type="gramStart"/>
      <w:r w:rsidRPr="00C76F29">
        <w:rPr>
          <w:rFonts w:ascii="Arial" w:eastAsia="Times New Roman" w:hAnsi="Arial" w:cs="Arial"/>
          <w:color w:val="000000"/>
          <w:sz w:val="24"/>
          <w:szCs w:val="24"/>
          <w:lang w:eastAsia="es-VE"/>
        </w:rPr>
        <w:t>.(</w:t>
      </w:r>
      <w:proofErr w:type="gramEnd"/>
      <w:r w:rsidRPr="00C76F29">
        <w:rPr>
          <w:rFonts w:ascii="Arial" w:eastAsia="Times New Roman" w:hAnsi="Arial" w:cs="Arial"/>
          <w:color w:val="000000"/>
          <w:sz w:val="24"/>
          <w:szCs w:val="24"/>
          <w:lang w:eastAsia="es-VE"/>
        </w:rPr>
        <w:t>Sentencia de la Sala Constitucional del Tribunal Supremo de Justicia, N° 18,de fecha 24 de enero de 2001, con ponencia del Magistrado Iván Rincón Urdaneta)</w:t>
      </w:r>
    </w:p>
    <w:p w:rsidR="00C76F29" w:rsidRPr="00C76F29" w:rsidRDefault="00C76F29" w:rsidP="00C76F29">
      <w:pPr>
        <w:spacing w:before="100" w:beforeAutospacing="1" w:after="100" w:afterAutospacing="1" w:line="360" w:lineRule="auto"/>
        <w:ind w:firstLine="284"/>
        <w:jc w:val="both"/>
        <w:rPr>
          <w:rFonts w:ascii="Times New Roman" w:eastAsia="Times New Roman" w:hAnsi="Times New Roman" w:cs="Times New Roman"/>
          <w:sz w:val="24"/>
          <w:szCs w:val="24"/>
          <w:lang w:eastAsia="es-VE"/>
        </w:rPr>
      </w:pPr>
      <w:r w:rsidRPr="00C76F29">
        <w:rPr>
          <w:rFonts w:ascii="Times New Roman" w:eastAsia="Times New Roman" w:hAnsi="Times New Roman" w:cs="Times New Roman"/>
          <w:sz w:val="24"/>
          <w:szCs w:val="24"/>
          <w:lang w:eastAsia="es-VE"/>
        </w:rPr>
        <w:t> </w:t>
      </w:r>
      <w:r w:rsidRPr="00C76F29">
        <w:rPr>
          <w:rFonts w:ascii="Arial" w:eastAsia="Times New Roman" w:hAnsi="Arial" w:cs="Arial"/>
          <w:color w:val="000000"/>
          <w:sz w:val="24"/>
          <w:szCs w:val="24"/>
          <w:lang w:eastAsia="es-VE"/>
        </w:rPr>
        <w:t xml:space="preserve">Según criterio de la Sala Constitucional del Tribunal Supremo de Justicia  el amparo constitucional es un mecanismo jurisdiccional “destinado a la protección exclusiva de los derechos y garantías constitucionales, cuya finalidad es restituir al ciudadano en el disfrute de sus derechos fundamentales o evitar o prevenir una amenaza contra los mismos, por lo que ante la existencia de una situación jurídica infringida, los efectos del amparo constitucional no pueden ser </w:t>
      </w:r>
      <w:proofErr w:type="spellStart"/>
      <w:r w:rsidRPr="00C76F29">
        <w:rPr>
          <w:rFonts w:ascii="Arial" w:eastAsia="Times New Roman" w:hAnsi="Arial" w:cs="Arial"/>
          <w:color w:val="000000"/>
          <w:sz w:val="24"/>
          <w:szCs w:val="24"/>
          <w:lang w:eastAsia="es-VE"/>
        </w:rPr>
        <w:t>constitutivos,sino</w:t>
      </w:r>
      <w:proofErr w:type="spellEnd"/>
      <w:r w:rsidRPr="00C76F29">
        <w:rPr>
          <w:rFonts w:ascii="Arial" w:eastAsia="Times New Roman" w:hAnsi="Arial" w:cs="Arial"/>
          <w:color w:val="000000"/>
          <w:sz w:val="24"/>
          <w:szCs w:val="24"/>
          <w:lang w:eastAsia="es-VE"/>
        </w:rPr>
        <w:t xml:space="preserve"> solamente restitutorios o restablecedores de esa situación que fue infringida en forma idéntica o en aquella que más se asemeje”.</w:t>
      </w:r>
    </w:p>
    <w:p w:rsidR="00C76F29" w:rsidRPr="00C76F29" w:rsidRDefault="00C76F29" w:rsidP="00C76F29">
      <w:pPr>
        <w:spacing w:before="100" w:beforeAutospacing="1" w:after="100" w:afterAutospacing="1" w:line="360" w:lineRule="auto"/>
        <w:ind w:firstLine="284"/>
        <w:jc w:val="both"/>
        <w:rPr>
          <w:rFonts w:ascii="Times New Roman" w:eastAsia="Times New Roman" w:hAnsi="Times New Roman" w:cs="Times New Roman"/>
          <w:sz w:val="24"/>
          <w:szCs w:val="24"/>
          <w:lang w:eastAsia="es-VE"/>
        </w:rPr>
      </w:pPr>
      <w:r w:rsidRPr="00C76F29">
        <w:rPr>
          <w:rFonts w:ascii="Times New Roman" w:eastAsia="Times New Roman" w:hAnsi="Times New Roman" w:cs="Times New Roman"/>
          <w:sz w:val="24"/>
          <w:szCs w:val="24"/>
          <w:lang w:eastAsia="es-VE"/>
        </w:rPr>
        <w:t> </w:t>
      </w:r>
      <w:r w:rsidRPr="00C76F29">
        <w:rPr>
          <w:rFonts w:ascii="Arial" w:eastAsia="Times New Roman" w:hAnsi="Arial" w:cs="Arial"/>
          <w:b/>
          <w:bCs/>
          <w:sz w:val="24"/>
          <w:szCs w:val="24"/>
          <w:lang w:eastAsia="es-VE"/>
        </w:rPr>
        <w:t>2. Naturaleza Jurídica</w:t>
      </w:r>
    </w:p>
    <w:p w:rsidR="00C76F29" w:rsidRPr="00C76F29" w:rsidRDefault="00C76F29" w:rsidP="00C76F29">
      <w:pPr>
        <w:spacing w:before="100" w:beforeAutospacing="1" w:after="100" w:afterAutospacing="1" w:line="360" w:lineRule="auto"/>
        <w:ind w:firstLine="284"/>
        <w:jc w:val="both"/>
        <w:rPr>
          <w:rFonts w:ascii="Times New Roman" w:eastAsia="Times New Roman" w:hAnsi="Times New Roman" w:cs="Times New Roman"/>
          <w:sz w:val="24"/>
          <w:szCs w:val="24"/>
          <w:lang w:eastAsia="es-VE"/>
        </w:rPr>
      </w:pPr>
      <w:r w:rsidRPr="00C76F29">
        <w:rPr>
          <w:rFonts w:ascii="Times New Roman" w:eastAsia="Times New Roman" w:hAnsi="Times New Roman" w:cs="Times New Roman"/>
          <w:sz w:val="24"/>
          <w:szCs w:val="24"/>
          <w:lang w:eastAsia="es-VE"/>
        </w:rPr>
        <w:t> </w:t>
      </w:r>
      <w:r w:rsidRPr="00C76F29">
        <w:rPr>
          <w:rFonts w:ascii="Arial" w:eastAsia="Times New Roman" w:hAnsi="Arial" w:cs="Arial"/>
          <w:color w:val="000000"/>
          <w:sz w:val="24"/>
          <w:szCs w:val="24"/>
          <w:lang w:eastAsia="es-VE"/>
        </w:rPr>
        <w:t xml:space="preserve">Señala el autor Fajardo (2007), que </w:t>
      </w:r>
      <w:proofErr w:type="gramStart"/>
      <w:r w:rsidRPr="00C76F29">
        <w:rPr>
          <w:rFonts w:ascii="Arial" w:eastAsia="Times New Roman" w:hAnsi="Arial" w:cs="Arial"/>
          <w:color w:val="000000"/>
          <w:sz w:val="24"/>
          <w:szCs w:val="24"/>
          <w:lang w:eastAsia="es-VE"/>
        </w:rPr>
        <w:t>el</w:t>
      </w:r>
      <w:proofErr w:type="gramEnd"/>
      <w:r w:rsidRPr="00C76F29">
        <w:rPr>
          <w:rFonts w:ascii="Arial" w:eastAsia="Times New Roman" w:hAnsi="Arial" w:cs="Arial"/>
          <w:color w:val="000000"/>
          <w:sz w:val="24"/>
          <w:szCs w:val="24"/>
          <w:lang w:eastAsia="es-VE"/>
        </w:rPr>
        <w:t xml:space="preserve"> Amparo es una garantía de los derechos, pero que siendo el amparo una garantía de los derechos, podría decirse que es un derecho de garantía.</w:t>
      </w:r>
    </w:p>
    <w:p w:rsidR="00C76F29" w:rsidRPr="00C76F29" w:rsidRDefault="00C76F29" w:rsidP="00C76F29">
      <w:pPr>
        <w:spacing w:before="100" w:beforeAutospacing="1" w:after="100" w:afterAutospacing="1" w:line="360" w:lineRule="auto"/>
        <w:ind w:firstLine="284"/>
        <w:jc w:val="both"/>
        <w:rPr>
          <w:rFonts w:ascii="Times New Roman" w:eastAsia="Times New Roman" w:hAnsi="Times New Roman" w:cs="Times New Roman"/>
          <w:sz w:val="24"/>
          <w:szCs w:val="24"/>
          <w:lang w:eastAsia="es-VE"/>
        </w:rPr>
      </w:pPr>
      <w:r w:rsidRPr="00C76F29">
        <w:rPr>
          <w:rFonts w:ascii="Times New Roman" w:eastAsia="Times New Roman" w:hAnsi="Times New Roman" w:cs="Times New Roman"/>
          <w:sz w:val="24"/>
          <w:szCs w:val="24"/>
          <w:lang w:eastAsia="es-VE"/>
        </w:rPr>
        <w:t> </w:t>
      </w:r>
      <w:r w:rsidRPr="00C76F29">
        <w:rPr>
          <w:rFonts w:ascii="Arial" w:eastAsia="Times New Roman" w:hAnsi="Arial" w:cs="Arial"/>
          <w:color w:val="000000"/>
          <w:sz w:val="24"/>
          <w:szCs w:val="24"/>
          <w:lang w:eastAsia="es-VE"/>
        </w:rPr>
        <w:t xml:space="preserve">A juicio de </w:t>
      </w:r>
      <w:proofErr w:type="spellStart"/>
      <w:r w:rsidRPr="00C76F29">
        <w:rPr>
          <w:rFonts w:ascii="Times New Roman" w:eastAsia="Times New Roman" w:hAnsi="Times New Roman" w:cs="Times New Roman"/>
          <w:sz w:val="24"/>
          <w:szCs w:val="24"/>
          <w:lang w:eastAsia="es-VE"/>
        </w:rPr>
        <w:t>Hildegard</w:t>
      </w:r>
      <w:proofErr w:type="spellEnd"/>
      <w:r w:rsidRPr="00C76F29">
        <w:rPr>
          <w:rFonts w:ascii="Times New Roman" w:eastAsia="Times New Roman" w:hAnsi="Times New Roman" w:cs="Times New Roman"/>
          <w:sz w:val="24"/>
          <w:szCs w:val="24"/>
          <w:lang w:eastAsia="es-VE"/>
        </w:rPr>
        <w:t xml:space="preserve"> Rondón de </w:t>
      </w:r>
      <w:proofErr w:type="spellStart"/>
      <w:r w:rsidRPr="00C76F29">
        <w:rPr>
          <w:rFonts w:ascii="Times New Roman" w:eastAsia="Times New Roman" w:hAnsi="Times New Roman" w:cs="Times New Roman"/>
          <w:sz w:val="24"/>
          <w:szCs w:val="24"/>
          <w:lang w:eastAsia="es-VE"/>
        </w:rPr>
        <w:t>Sansó</w:t>
      </w:r>
      <w:proofErr w:type="spellEnd"/>
      <w:r w:rsidRPr="00C76F29">
        <w:rPr>
          <w:rFonts w:ascii="Times New Roman" w:eastAsia="Times New Roman" w:hAnsi="Times New Roman" w:cs="Times New Roman"/>
          <w:b/>
          <w:bCs/>
          <w:i/>
          <w:iCs/>
          <w:sz w:val="24"/>
          <w:szCs w:val="24"/>
          <w:lang w:eastAsia="es-VE"/>
        </w:rPr>
        <w:t xml:space="preserve">, </w:t>
      </w:r>
      <w:r w:rsidRPr="00C76F29">
        <w:rPr>
          <w:rFonts w:ascii="Arial" w:eastAsia="Times New Roman" w:hAnsi="Arial" w:cs="Arial"/>
          <w:color w:val="000000"/>
          <w:sz w:val="24"/>
          <w:szCs w:val="24"/>
          <w:lang w:eastAsia="es-VE"/>
        </w:rPr>
        <w:t>la acción estudiada -en el vigente texto constitucional que mantiene los principios de la derogada-”no se ubica como un derecho, sino como una garantía” y cubre la totalidad de “los derechos inherentes a la persona humana, aun cuando no figuren en ella o en los instrumentos internacionales sobre la materia”.</w:t>
      </w:r>
    </w:p>
    <w:p w:rsidR="00C76F29" w:rsidRPr="00C76F29" w:rsidRDefault="00C76F29" w:rsidP="00C76F29">
      <w:pPr>
        <w:spacing w:before="100" w:beforeAutospacing="1" w:after="100" w:afterAutospacing="1" w:line="360" w:lineRule="auto"/>
        <w:ind w:firstLine="284"/>
        <w:jc w:val="both"/>
        <w:rPr>
          <w:rFonts w:ascii="Times New Roman" w:eastAsia="Times New Roman" w:hAnsi="Times New Roman" w:cs="Times New Roman"/>
          <w:sz w:val="24"/>
          <w:szCs w:val="24"/>
          <w:lang w:eastAsia="es-VE"/>
        </w:rPr>
      </w:pPr>
      <w:r w:rsidRPr="00C76F29">
        <w:rPr>
          <w:rFonts w:ascii="Arial" w:eastAsia="Times New Roman" w:hAnsi="Arial" w:cs="Arial"/>
          <w:b/>
          <w:bCs/>
          <w:color w:val="000000"/>
          <w:sz w:val="24"/>
          <w:szCs w:val="24"/>
          <w:lang w:eastAsia="es-VE"/>
        </w:rPr>
        <w:t>3. Procedimiento</w:t>
      </w:r>
    </w:p>
    <w:p w:rsidR="00C76F29" w:rsidRPr="00C76F29" w:rsidRDefault="00C76F29" w:rsidP="00C76F29">
      <w:pPr>
        <w:spacing w:before="100" w:beforeAutospacing="1" w:after="100" w:afterAutospacing="1" w:line="360" w:lineRule="auto"/>
        <w:ind w:firstLine="284"/>
        <w:jc w:val="both"/>
        <w:rPr>
          <w:rFonts w:ascii="Times New Roman" w:eastAsia="Times New Roman" w:hAnsi="Times New Roman" w:cs="Times New Roman"/>
          <w:sz w:val="24"/>
          <w:szCs w:val="24"/>
          <w:lang w:eastAsia="es-VE"/>
        </w:rPr>
      </w:pPr>
      <w:r w:rsidRPr="00C76F29">
        <w:rPr>
          <w:rFonts w:ascii="Times New Roman" w:eastAsia="Times New Roman" w:hAnsi="Times New Roman" w:cs="Times New Roman"/>
          <w:sz w:val="24"/>
          <w:szCs w:val="24"/>
          <w:lang w:eastAsia="es-VE"/>
        </w:rPr>
        <w:t> </w:t>
      </w:r>
      <w:r w:rsidRPr="00C76F29">
        <w:rPr>
          <w:rFonts w:ascii="Arial" w:eastAsia="Times New Roman" w:hAnsi="Arial" w:cs="Arial"/>
          <w:color w:val="000000"/>
          <w:sz w:val="24"/>
          <w:szCs w:val="24"/>
          <w:lang w:eastAsia="es-VE"/>
        </w:rPr>
        <w:t xml:space="preserve">Según </w:t>
      </w:r>
      <w:proofErr w:type="gramStart"/>
      <w:r w:rsidRPr="00C76F29">
        <w:rPr>
          <w:rFonts w:ascii="Arial" w:eastAsia="Times New Roman" w:hAnsi="Arial" w:cs="Arial"/>
          <w:color w:val="000000"/>
          <w:sz w:val="24"/>
          <w:szCs w:val="24"/>
          <w:lang w:eastAsia="es-VE"/>
        </w:rPr>
        <w:t>el</w:t>
      </w:r>
      <w:proofErr w:type="gramEnd"/>
      <w:r w:rsidRPr="00C76F29">
        <w:rPr>
          <w:rFonts w:ascii="Arial" w:eastAsia="Times New Roman" w:hAnsi="Arial" w:cs="Arial"/>
          <w:color w:val="000000"/>
          <w:sz w:val="24"/>
          <w:szCs w:val="24"/>
          <w:lang w:eastAsia="es-VE"/>
        </w:rPr>
        <w:t xml:space="preserve"> primera parte del artículo 27 de la Carta Magna, el procedimiento de la acción de amparo constitucional será oral, público, breve, gratuito y no sujeto a formalidad, y la autoridad judicial competente tendrá potestad para restablecer </w:t>
      </w:r>
      <w:r w:rsidRPr="00C76F29">
        <w:rPr>
          <w:rFonts w:ascii="Arial" w:eastAsia="Times New Roman" w:hAnsi="Arial" w:cs="Arial"/>
          <w:color w:val="000000"/>
          <w:sz w:val="24"/>
          <w:szCs w:val="24"/>
          <w:lang w:eastAsia="es-VE"/>
        </w:rPr>
        <w:lastRenderedPageBreak/>
        <w:t>inmediatamente la situación jurídica infringida o la situación que más se asemeje a ella. Todo tiempo será hábil y el tribunal lo tramitará con preferencia a cualquier otro asunto.</w:t>
      </w:r>
    </w:p>
    <w:p w:rsidR="00C76F29" w:rsidRPr="00C76F29" w:rsidRDefault="00C76F29" w:rsidP="00C76F29">
      <w:pPr>
        <w:spacing w:before="100" w:beforeAutospacing="1" w:after="100" w:afterAutospacing="1" w:line="360" w:lineRule="auto"/>
        <w:ind w:firstLine="284"/>
        <w:jc w:val="both"/>
        <w:rPr>
          <w:rFonts w:ascii="Times New Roman" w:eastAsia="Times New Roman" w:hAnsi="Times New Roman" w:cs="Times New Roman"/>
          <w:sz w:val="24"/>
          <w:szCs w:val="24"/>
          <w:lang w:eastAsia="es-VE"/>
        </w:rPr>
      </w:pPr>
      <w:r w:rsidRPr="00C76F29">
        <w:rPr>
          <w:rFonts w:ascii="Arial" w:eastAsia="Times New Roman" w:hAnsi="Arial" w:cs="Arial"/>
          <w:b/>
          <w:bCs/>
          <w:color w:val="000000"/>
          <w:sz w:val="24"/>
          <w:szCs w:val="24"/>
          <w:lang w:eastAsia="es-VE"/>
        </w:rPr>
        <w:t>4. Requisitos de Procedencia</w:t>
      </w:r>
    </w:p>
    <w:p w:rsidR="00C76F29" w:rsidRPr="00C76F29" w:rsidRDefault="00C76F29" w:rsidP="00C76F29">
      <w:pPr>
        <w:spacing w:before="100" w:beforeAutospacing="1" w:after="100" w:afterAutospacing="1" w:line="360" w:lineRule="auto"/>
        <w:ind w:firstLine="284"/>
        <w:jc w:val="both"/>
        <w:rPr>
          <w:rFonts w:ascii="Times New Roman" w:eastAsia="Times New Roman" w:hAnsi="Times New Roman" w:cs="Times New Roman"/>
          <w:sz w:val="24"/>
          <w:szCs w:val="24"/>
          <w:lang w:eastAsia="es-VE"/>
        </w:rPr>
      </w:pPr>
      <w:r w:rsidRPr="00C76F29">
        <w:rPr>
          <w:rFonts w:ascii="Arial" w:eastAsia="Times New Roman" w:hAnsi="Arial" w:cs="Arial"/>
          <w:color w:val="000000"/>
          <w:sz w:val="24"/>
          <w:szCs w:val="24"/>
          <w:lang w:eastAsia="es-VE"/>
        </w:rPr>
        <w:t xml:space="preserve">La Acción de Amparo la gobiernan varios requisitos a saber: </w:t>
      </w:r>
    </w:p>
    <w:p w:rsidR="00C76F29" w:rsidRPr="00C76F29" w:rsidRDefault="00C76F29" w:rsidP="00C76F29">
      <w:pPr>
        <w:spacing w:before="100" w:beforeAutospacing="1" w:after="100" w:afterAutospacing="1" w:line="360" w:lineRule="auto"/>
        <w:ind w:firstLine="284"/>
        <w:jc w:val="both"/>
        <w:rPr>
          <w:rFonts w:ascii="Times New Roman" w:eastAsia="Times New Roman" w:hAnsi="Times New Roman" w:cs="Times New Roman"/>
          <w:sz w:val="24"/>
          <w:szCs w:val="24"/>
          <w:lang w:eastAsia="es-VE"/>
        </w:rPr>
      </w:pPr>
      <w:r w:rsidRPr="00C76F29">
        <w:rPr>
          <w:rFonts w:ascii="Arial" w:eastAsia="Times New Roman" w:hAnsi="Arial" w:cs="Arial"/>
          <w:color w:val="000000"/>
          <w:sz w:val="24"/>
          <w:szCs w:val="24"/>
          <w:lang w:val="es-ES_tradnl" w:eastAsia="es-VE"/>
        </w:rPr>
        <w:t xml:space="preserve">a) De Admisibilidad; b) De Procedencia; c) Requeridos por la Jurisprudencia; d) Requeridos en el Código de Procedimiento Civil. </w:t>
      </w:r>
    </w:p>
    <w:p w:rsidR="00C76F29" w:rsidRPr="00C76F29" w:rsidRDefault="00C76F29" w:rsidP="00C76F29">
      <w:pPr>
        <w:spacing w:before="100" w:beforeAutospacing="1" w:after="100" w:afterAutospacing="1" w:line="360" w:lineRule="auto"/>
        <w:ind w:firstLine="284"/>
        <w:jc w:val="both"/>
        <w:rPr>
          <w:rFonts w:ascii="Times New Roman" w:eastAsia="Times New Roman" w:hAnsi="Times New Roman" w:cs="Times New Roman"/>
          <w:sz w:val="24"/>
          <w:szCs w:val="24"/>
          <w:lang w:eastAsia="es-VE"/>
        </w:rPr>
      </w:pPr>
      <w:r w:rsidRPr="00C76F29">
        <w:rPr>
          <w:rFonts w:ascii="Times New Roman" w:eastAsia="Times New Roman" w:hAnsi="Times New Roman" w:cs="Times New Roman"/>
          <w:sz w:val="24"/>
          <w:szCs w:val="24"/>
          <w:lang w:eastAsia="es-VE"/>
        </w:rPr>
        <w:t> </w:t>
      </w:r>
      <w:r w:rsidRPr="00C76F29">
        <w:rPr>
          <w:rFonts w:ascii="Arial" w:eastAsia="Times New Roman" w:hAnsi="Arial" w:cs="Arial"/>
          <w:color w:val="000000"/>
          <w:sz w:val="24"/>
          <w:szCs w:val="24"/>
          <w:lang w:eastAsia="es-VE"/>
        </w:rPr>
        <w:t>Los requisitos de Admisibilidad, son aquellos que debe observar el juzgador ab initio, para determinar si la acción de Amparo debe tramitarse o no para la definitiva declarar si procede o no. Asimismo, los requisitos de procedencia, son aquellos que debe revisar el juzgador en el mérito de la causa, es decir, luego de haber establecido los requisitos que hacen admisible la acción de Amparo.</w:t>
      </w:r>
    </w:p>
    <w:p w:rsidR="00C76F29" w:rsidRPr="00C76F29" w:rsidRDefault="00C76F29" w:rsidP="00C76F29">
      <w:pPr>
        <w:spacing w:before="100" w:beforeAutospacing="1" w:after="100" w:afterAutospacing="1" w:line="360" w:lineRule="auto"/>
        <w:ind w:firstLine="284"/>
        <w:jc w:val="both"/>
        <w:rPr>
          <w:rFonts w:ascii="Times New Roman" w:eastAsia="Times New Roman" w:hAnsi="Times New Roman" w:cs="Times New Roman"/>
          <w:sz w:val="24"/>
          <w:szCs w:val="24"/>
          <w:lang w:eastAsia="es-VE"/>
        </w:rPr>
      </w:pPr>
      <w:r w:rsidRPr="00C76F29">
        <w:rPr>
          <w:rFonts w:ascii="Times New Roman" w:eastAsia="Times New Roman" w:hAnsi="Times New Roman" w:cs="Times New Roman"/>
          <w:sz w:val="24"/>
          <w:szCs w:val="24"/>
          <w:lang w:eastAsia="es-VE"/>
        </w:rPr>
        <w:t> </w:t>
      </w:r>
      <w:r w:rsidRPr="00C76F29">
        <w:rPr>
          <w:rFonts w:ascii="Arial" w:eastAsia="Times New Roman" w:hAnsi="Arial" w:cs="Arial"/>
          <w:color w:val="000000"/>
          <w:sz w:val="24"/>
          <w:szCs w:val="24"/>
          <w:lang w:eastAsia="es-VE"/>
        </w:rPr>
        <w:t>A. El hecho lesivo</w:t>
      </w:r>
    </w:p>
    <w:p w:rsidR="00C76F29" w:rsidRPr="00C76F29" w:rsidRDefault="00C76F29" w:rsidP="00C76F29">
      <w:pPr>
        <w:spacing w:before="100" w:beforeAutospacing="1" w:after="100" w:afterAutospacing="1" w:line="360" w:lineRule="auto"/>
        <w:ind w:firstLine="284"/>
        <w:jc w:val="both"/>
        <w:rPr>
          <w:rFonts w:ascii="Times New Roman" w:eastAsia="Times New Roman" w:hAnsi="Times New Roman" w:cs="Times New Roman"/>
          <w:sz w:val="24"/>
          <w:szCs w:val="24"/>
          <w:lang w:eastAsia="es-VE"/>
        </w:rPr>
      </w:pPr>
      <w:r w:rsidRPr="00C76F29">
        <w:rPr>
          <w:rFonts w:ascii="Arial" w:eastAsia="Times New Roman" w:hAnsi="Arial" w:cs="Arial"/>
          <w:color w:val="000000"/>
          <w:sz w:val="24"/>
          <w:szCs w:val="24"/>
          <w:lang w:val="es-ES_tradnl" w:eastAsia="es-VE"/>
        </w:rPr>
        <w:t xml:space="preserve">a. Actualidad de la lesión constitucional </w:t>
      </w:r>
    </w:p>
    <w:p w:rsidR="00C76F29" w:rsidRPr="00C76F29" w:rsidRDefault="00C76F29" w:rsidP="00C76F29">
      <w:pPr>
        <w:spacing w:before="100" w:beforeAutospacing="1" w:after="100" w:afterAutospacing="1" w:line="360" w:lineRule="auto"/>
        <w:ind w:firstLine="284"/>
        <w:jc w:val="both"/>
        <w:rPr>
          <w:rFonts w:ascii="Times New Roman" w:eastAsia="Times New Roman" w:hAnsi="Times New Roman" w:cs="Times New Roman"/>
          <w:sz w:val="24"/>
          <w:szCs w:val="24"/>
          <w:lang w:eastAsia="es-VE"/>
        </w:rPr>
      </w:pPr>
      <w:r w:rsidRPr="00C76F29">
        <w:rPr>
          <w:rFonts w:ascii="Arial" w:eastAsia="Times New Roman" w:hAnsi="Arial" w:cs="Arial"/>
          <w:color w:val="000000"/>
          <w:sz w:val="24"/>
          <w:szCs w:val="24"/>
          <w:lang w:val="es-ES_tradnl" w:eastAsia="es-VE"/>
        </w:rPr>
        <w:t>b. La lesión constitucional debe ser reparable</w:t>
      </w:r>
    </w:p>
    <w:p w:rsidR="00C76F29" w:rsidRPr="00C76F29" w:rsidRDefault="00C76F29" w:rsidP="00C76F29">
      <w:pPr>
        <w:spacing w:before="100" w:beforeAutospacing="1" w:after="100" w:afterAutospacing="1" w:line="360" w:lineRule="auto"/>
        <w:ind w:firstLine="284"/>
        <w:jc w:val="both"/>
        <w:rPr>
          <w:rFonts w:ascii="Times New Roman" w:eastAsia="Times New Roman" w:hAnsi="Times New Roman" w:cs="Times New Roman"/>
          <w:sz w:val="24"/>
          <w:szCs w:val="24"/>
          <w:lang w:eastAsia="es-VE"/>
        </w:rPr>
      </w:pPr>
      <w:r w:rsidRPr="00C76F29">
        <w:rPr>
          <w:rFonts w:ascii="Times New Roman" w:eastAsia="Times New Roman" w:hAnsi="Times New Roman" w:cs="Times New Roman"/>
          <w:sz w:val="24"/>
          <w:szCs w:val="24"/>
          <w:lang w:eastAsia="es-VE"/>
        </w:rPr>
        <w:t> </w:t>
      </w:r>
      <w:r w:rsidRPr="00C76F29">
        <w:rPr>
          <w:rFonts w:ascii="Arial" w:eastAsia="Times New Roman" w:hAnsi="Arial" w:cs="Arial"/>
          <w:color w:val="000000"/>
          <w:sz w:val="24"/>
          <w:szCs w:val="24"/>
          <w:lang w:eastAsia="es-VE"/>
        </w:rPr>
        <w:t>B. La lesión de un derecho o garantía constitucional</w:t>
      </w:r>
    </w:p>
    <w:p w:rsidR="00C76F29" w:rsidRPr="00C76F29" w:rsidRDefault="00C76F29" w:rsidP="00C76F29">
      <w:pPr>
        <w:spacing w:before="100" w:beforeAutospacing="1" w:after="100" w:afterAutospacing="1" w:line="360" w:lineRule="auto"/>
        <w:ind w:firstLine="284"/>
        <w:jc w:val="both"/>
        <w:rPr>
          <w:rFonts w:ascii="Times New Roman" w:eastAsia="Times New Roman" w:hAnsi="Times New Roman" w:cs="Times New Roman"/>
          <w:sz w:val="24"/>
          <w:szCs w:val="24"/>
          <w:lang w:eastAsia="es-VE"/>
        </w:rPr>
      </w:pPr>
      <w:r w:rsidRPr="00C76F29">
        <w:rPr>
          <w:rFonts w:ascii="Arial" w:eastAsia="Times New Roman" w:hAnsi="Arial" w:cs="Arial"/>
          <w:color w:val="000000"/>
          <w:sz w:val="24"/>
          <w:szCs w:val="24"/>
          <w:lang w:eastAsia="es-VE"/>
        </w:rPr>
        <w:t xml:space="preserve">La Constitución anterior consagró dos acciones o recursos para asegurar la efectividad de los derechos y garantías constitucionales: Amparo y habeas corpus. El primero estaba destinado a proteger los derechos enumerados en los artículos 58 y siguientes, con excepción de la libertad física, sobre la cual existía una legislación transitoria en la propia Constitución mientras se dictaba la correspondiente ley ordinaria (recurso de habeas corpus). Sobre el amparo, la Constitución no contenía, como en el caso del habeas corpus, ningún dispositivo reglamentario por lo que su correcto ejercicio estaba condicionado a las previsiones de una ley que fue aprobada por el Congreso Nacional el 22-01-88. </w:t>
      </w:r>
      <w:r w:rsidRPr="00C76F29">
        <w:rPr>
          <w:rFonts w:ascii="Arial" w:eastAsia="Times New Roman" w:hAnsi="Arial" w:cs="Arial"/>
          <w:color w:val="000000"/>
          <w:sz w:val="24"/>
          <w:szCs w:val="24"/>
          <w:lang w:eastAsia="es-VE"/>
        </w:rPr>
        <w:lastRenderedPageBreak/>
        <w:t>Esa Ley precisa cuales son los tribunales con competencia para conocer y decidir el amparo solicitado, así como el respectivo procedimiento el cual debe ser breve y sumario para que pueda cumplir el objetivo inmediato de restablecer la situación infringida.</w:t>
      </w:r>
    </w:p>
    <w:p w:rsidR="00C76F29" w:rsidRPr="00C76F29" w:rsidRDefault="00C76F29" w:rsidP="00C76F29">
      <w:pPr>
        <w:spacing w:before="100" w:beforeAutospacing="1" w:after="100" w:afterAutospacing="1" w:line="360" w:lineRule="auto"/>
        <w:ind w:firstLine="284"/>
        <w:jc w:val="both"/>
        <w:rPr>
          <w:rFonts w:ascii="Times New Roman" w:eastAsia="Times New Roman" w:hAnsi="Times New Roman" w:cs="Times New Roman"/>
          <w:sz w:val="24"/>
          <w:szCs w:val="24"/>
          <w:lang w:eastAsia="es-VE"/>
        </w:rPr>
      </w:pPr>
      <w:r w:rsidRPr="00C76F29">
        <w:rPr>
          <w:rFonts w:ascii="Times New Roman" w:eastAsia="Times New Roman" w:hAnsi="Times New Roman" w:cs="Times New Roman"/>
          <w:sz w:val="24"/>
          <w:szCs w:val="24"/>
          <w:lang w:eastAsia="es-VE"/>
        </w:rPr>
        <w:t> </w:t>
      </w:r>
      <w:r w:rsidRPr="00C76F29">
        <w:rPr>
          <w:rFonts w:ascii="Arial" w:eastAsia="Times New Roman" w:hAnsi="Arial" w:cs="Arial"/>
          <w:color w:val="000000"/>
          <w:sz w:val="24"/>
          <w:szCs w:val="24"/>
          <w:lang w:eastAsia="es-VE"/>
        </w:rPr>
        <w:t>La Ley Orgánica de Amparo sobre Derechos y Garantías Constitucionales, dictada en ejecución del artículo 49 de la Constitución del 61, en opinión de algunos, fue la ley más importante promulgada en el país durante los últimos veinte años, por cuanto reguló y protegió el ejercicio y goce de los derechos y garantías que la Constitución establecía.</w:t>
      </w:r>
    </w:p>
    <w:p w:rsidR="00C76F29" w:rsidRPr="00C76F29" w:rsidRDefault="00C76F29" w:rsidP="00C76F29">
      <w:pPr>
        <w:spacing w:before="100" w:beforeAutospacing="1" w:after="100" w:afterAutospacing="1" w:line="360" w:lineRule="auto"/>
        <w:ind w:firstLine="284"/>
        <w:jc w:val="both"/>
        <w:rPr>
          <w:rFonts w:ascii="Times New Roman" w:eastAsia="Times New Roman" w:hAnsi="Times New Roman" w:cs="Times New Roman"/>
          <w:sz w:val="24"/>
          <w:szCs w:val="24"/>
          <w:lang w:eastAsia="es-VE"/>
        </w:rPr>
      </w:pPr>
      <w:r w:rsidRPr="00C76F29">
        <w:rPr>
          <w:rFonts w:ascii="Times New Roman" w:eastAsia="Times New Roman" w:hAnsi="Times New Roman" w:cs="Times New Roman"/>
          <w:sz w:val="24"/>
          <w:szCs w:val="24"/>
          <w:lang w:eastAsia="es-VE"/>
        </w:rPr>
        <w:t> </w:t>
      </w:r>
      <w:r w:rsidRPr="00C76F29">
        <w:rPr>
          <w:rFonts w:ascii="Arial" w:eastAsia="Times New Roman" w:hAnsi="Arial" w:cs="Arial"/>
          <w:color w:val="000000"/>
          <w:sz w:val="24"/>
          <w:szCs w:val="24"/>
          <w:lang w:eastAsia="es-VE"/>
        </w:rPr>
        <w:t>En cuanto a la efectiva garantía de la libertad personal y física del hombre, existe una vía o procedimiento especial tradicionalmente conocido con el nombre de recurso de habeas corpus. Se trata de una de las instituciones más antiguas y es una verdadera reliquia del derecho público.</w:t>
      </w:r>
    </w:p>
    <w:p w:rsidR="00C76F29" w:rsidRPr="00C76F29" w:rsidRDefault="00C76F29" w:rsidP="00C76F29">
      <w:pPr>
        <w:spacing w:before="100" w:beforeAutospacing="1" w:after="100" w:afterAutospacing="1" w:line="360" w:lineRule="auto"/>
        <w:ind w:firstLine="284"/>
        <w:jc w:val="both"/>
        <w:rPr>
          <w:rFonts w:ascii="Times New Roman" w:eastAsia="Times New Roman" w:hAnsi="Times New Roman" w:cs="Times New Roman"/>
          <w:sz w:val="24"/>
          <w:szCs w:val="24"/>
          <w:lang w:eastAsia="es-VE"/>
        </w:rPr>
      </w:pPr>
      <w:r w:rsidRPr="00C76F29">
        <w:rPr>
          <w:rFonts w:ascii="Times New Roman" w:eastAsia="Times New Roman" w:hAnsi="Times New Roman" w:cs="Times New Roman"/>
          <w:sz w:val="24"/>
          <w:szCs w:val="24"/>
          <w:lang w:eastAsia="es-VE"/>
        </w:rPr>
        <w:t> </w:t>
      </w:r>
      <w:r w:rsidRPr="00C76F29">
        <w:rPr>
          <w:rFonts w:ascii="Arial" w:eastAsia="Times New Roman" w:hAnsi="Arial" w:cs="Arial"/>
          <w:color w:val="000000"/>
          <w:sz w:val="24"/>
          <w:szCs w:val="24"/>
          <w:lang w:eastAsia="es-VE"/>
        </w:rPr>
        <w:t>Una breve exposición histórica permite afirmar que el habeas corpus como derecho sustantivo, es decir, como garantía de que nadie puede ser preso o detenido sin orden escrita y motivada de autoridad competente, existe en nuestra legislación constitucional desde la Carta de 1811 hasta la de 1961. Incluso en alguna de nuestras Constituciones anteriores, como la de 1830, se repetía de acuerdo con el texto primitivo, que sin la orden mencionada ningún carcelero podía recibir en arresto a una persona. Pero si la libertad personal se hallaba teóricamente garantizada en las previsiones señaladas, nunca se completaron ni en el texto de las Constituciones ni en las leyes especiales con las disposiciones que permitieran un juicio breve y sumario para juzgar sobre la legalidad o ilegalidad de las detenciones decretadas, incluso mediante orden escrita y motivada.</w:t>
      </w:r>
    </w:p>
    <w:p w:rsidR="00C76F29" w:rsidRPr="00C76F29" w:rsidRDefault="00C76F29" w:rsidP="00C76F29">
      <w:pPr>
        <w:spacing w:before="100" w:beforeAutospacing="1" w:after="100" w:afterAutospacing="1" w:line="360" w:lineRule="auto"/>
        <w:ind w:firstLine="284"/>
        <w:jc w:val="both"/>
        <w:rPr>
          <w:rFonts w:ascii="Times New Roman" w:eastAsia="Times New Roman" w:hAnsi="Times New Roman" w:cs="Times New Roman"/>
          <w:sz w:val="24"/>
          <w:szCs w:val="24"/>
          <w:lang w:eastAsia="es-VE"/>
        </w:rPr>
      </w:pPr>
      <w:r w:rsidRPr="00C76F29">
        <w:rPr>
          <w:rFonts w:ascii="Times New Roman" w:eastAsia="Times New Roman" w:hAnsi="Times New Roman" w:cs="Times New Roman"/>
          <w:sz w:val="24"/>
          <w:szCs w:val="24"/>
          <w:lang w:eastAsia="es-VE"/>
        </w:rPr>
        <w:t> </w:t>
      </w:r>
      <w:r w:rsidRPr="00C76F29">
        <w:rPr>
          <w:rFonts w:ascii="Arial" w:eastAsia="Times New Roman" w:hAnsi="Arial" w:cs="Arial"/>
          <w:color w:val="000000"/>
          <w:sz w:val="24"/>
          <w:szCs w:val="24"/>
          <w:lang w:eastAsia="es-VE"/>
        </w:rPr>
        <w:t xml:space="preserve">El habeas corpus sólo protege, pues, la libertad y la seguridad personales contra arrestos o detenciones arbitrarias, decretados por autoridades políticas y administrativas, incluso para obligar a estas autoridades a dar efectivo cumplimiento a sentencia de los tribunales. Frecuentes fueron los casos y aún es </w:t>
      </w:r>
      <w:r w:rsidRPr="00C76F29">
        <w:rPr>
          <w:rFonts w:ascii="Arial" w:eastAsia="Times New Roman" w:hAnsi="Arial" w:cs="Arial"/>
          <w:color w:val="000000"/>
          <w:sz w:val="24"/>
          <w:szCs w:val="24"/>
          <w:lang w:eastAsia="es-VE"/>
        </w:rPr>
        <w:lastRenderedPageBreak/>
        <w:t xml:space="preserve">posible que ocurran </w:t>
      </w:r>
      <w:proofErr w:type="gramStart"/>
      <w:r w:rsidRPr="00C76F29">
        <w:rPr>
          <w:rFonts w:ascii="Arial" w:eastAsia="Times New Roman" w:hAnsi="Arial" w:cs="Arial"/>
          <w:color w:val="000000"/>
          <w:sz w:val="24"/>
          <w:szCs w:val="24"/>
          <w:lang w:eastAsia="es-VE"/>
        </w:rPr>
        <w:t>de que</w:t>
      </w:r>
      <w:proofErr w:type="gramEnd"/>
      <w:r w:rsidRPr="00C76F29">
        <w:rPr>
          <w:rFonts w:ascii="Arial" w:eastAsia="Times New Roman" w:hAnsi="Arial" w:cs="Arial"/>
          <w:color w:val="000000"/>
          <w:sz w:val="24"/>
          <w:szCs w:val="24"/>
          <w:lang w:eastAsia="es-VE"/>
        </w:rPr>
        <w:t xml:space="preserve"> absuelta una persona, sobreseída la causa, destruidos, en suma, los motivos que dieron lugar a la detención, las autoridades administrativas o ejecutivas no cumplían de inmediato las decisiones judiciales. Si el supuesto llegare a ocurrir, es claro que procede el recurso de habeas corpus contra detenciones o arrestos arbitrariamente prolongados por autoridades del poder ejecutivo, ya que de acuerdo con otra disposición claramente conectada al habeas corpus, nadie puede permanecer en detención, si mediante decisión judicial firme han quedado destruidos los fundamentos que la motivaron.</w:t>
      </w:r>
    </w:p>
    <w:p w:rsidR="00C76F29" w:rsidRPr="00C76F29" w:rsidRDefault="00C76F29" w:rsidP="00C76F29">
      <w:pPr>
        <w:spacing w:before="100" w:beforeAutospacing="1" w:after="100" w:afterAutospacing="1" w:line="360" w:lineRule="auto"/>
        <w:ind w:firstLine="284"/>
        <w:jc w:val="both"/>
        <w:rPr>
          <w:rFonts w:ascii="Times New Roman" w:eastAsia="Times New Roman" w:hAnsi="Times New Roman" w:cs="Times New Roman"/>
          <w:sz w:val="24"/>
          <w:szCs w:val="24"/>
          <w:lang w:eastAsia="es-VE"/>
        </w:rPr>
      </w:pPr>
      <w:r w:rsidRPr="00C76F29">
        <w:rPr>
          <w:rFonts w:ascii="Times New Roman" w:eastAsia="Times New Roman" w:hAnsi="Times New Roman" w:cs="Times New Roman"/>
          <w:sz w:val="24"/>
          <w:szCs w:val="24"/>
          <w:lang w:eastAsia="es-VE"/>
        </w:rPr>
        <w:t> </w:t>
      </w:r>
      <w:r w:rsidRPr="00C76F29">
        <w:rPr>
          <w:rFonts w:ascii="Arial" w:eastAsia="Times New Roman" w:hAnsi="Arial" w:cs="Arial"/>
          <w:color w:val="000000"/>
          <w:sz w:val="24"/>
          <w:szCs w:val="24"/>
          <w:lang w:eastAsia="es-VE"/>
        </w:rPr>
        <w:t>En Venezuela el amparo a la libertad personal como garantía judicial, se establece por primera vez en la Constitución de 1947, (Art. 32). Sin embargo, el desconocimiento de este texto constitucional “a partir del 24 de noviembre de 1948, conllevó a la derogatoria indirecta del derecho de habeas corpus en nuestro ordenamiento jurídico general, hasta la promulgación de la Constitución de 1961, que estableció en su Disposición Transitoria Quinta la regulación del amparo de la libertad personal en forma inmediata, mediante un procedimiento breve y sumario, vigente hasta el 26 de septiembre de 1988, cuando se aprobó la Ley Orgánica de Amparo sobre Derechos y Garantías Constitucionales, que dedicó un Título a la regulación del amparo de la libertad y seguridad personales.</w:t>
      </w:r>
    </w:p>
    <w:p w:rsidR="00C76F29" w:rsidRPr="00C76F29" w:rsidRDefault="00C76F29" w:rsidP="00C76F29">
      <w:pPr>
        <w:spacing w:before="100" w:beforeAutospacing="1" w:after="100" w:afterAutospacing="1" w:line="360" w:lineRule="auto"/>
        <w:ind w:firstLine="284"/>
        <w:jc w:val="both"/>
        <w:rPr>
          <w:rFonts w:ascii="Times New Roman" w:eastAsia="Times New Roman" w:hAnsi="Times New Roman" w:cs="Times New Roman"/>
          <w:sz w:val="24"/>
          <w:szCs w:val="24"/>
          <w:lang w:eastAsia="es-VE"/>
        </w:rPr>
      </w:pPr>
      <w:r w:rsidRPr="00C76F29">
        <w:rPr>
          <w:rFonts w:ascii="Arial" w:eastAsia="Times New Roman" w:hAnsi="Arial" w:cs="Arial"/>
          <w:color w:val="000000"/>
          <w:sz w:val="24"/>
          <w:szCs w:val="24"/>
          <w:lang w:eastAsia="es-VE"/>
        </w:rPr>
        <w:t>La Constitución vigente también consagra dos acciones o recursos para asegurar la efectividad de los derechos y garantías constitucionales. El primero está destinado a proteger por los tribunales el goce y ejercicio de los derechos y garantías constitucionales, y además de aquellos inherentes a la persona que no figuren expresamente en la Constitución o en los instrumentos internacionales sobre derechos humanos.</w:t>
      </w:r>
    </w:p>
    <w:p w:rsidR="00C76F29" w:rsidRPr="00C76F29" w:rsidRDefault="00C76F29" w:rsidP="00C76F29">
      <w:pPr>
        <w:spacing w:before="100" w:beforeAutospacing="1" w:after="100" w:afterAutospacing="1" w:line="360" w:lineRule="auto"/>
        <w:ind w:firstLine="284"/>
        <w:jc w:val="both"/>
        <w:rPr>
          <w:rFonts w:ascii="Times New Roman" w:eastAsia="Times New Roman" w:hAnsi="Times New Roman" w:cs="Times New Roman"/>
          <w:sz w:val="24"/>
          <w:szCs w:val="24"/>
          <w:lang w:eastAsia="es-VE"/>
        </w:rPr>
      </w:pPr>
      <w:r w:rsidRPr="00C76F29">
        <w:rPr>
          <w:rFonts w:ascii="Arial" w:eastAsia="Times New Roman" w:hAnsi="Arial" w:cs="Arial"/>
          <w:color w:val="000000"/>
          <w:sz w:val="24"/>
          <w:szCs w:val="24"/>
          <w:lang w:eastAsia="es-VE"/>
        </w:rPr>
        <w:t>En cuanto a la libertad o seguridad, la acción de amparo puede ser interpuesta por cualquier persona, y el detenido será puesto bajo la custodia del tribunal en forma inmediata, sin dilación de ninguna clase. El ejercicio de esta acción no será afectada en modo alguno por la declaratoria del estado de excepción o de la restricción de las garantías constitucionales. (Art. 27)</w:t>
      </w:r>
    </w:p>
    <w:p w:rsidR="00C76F29" w:rsidRPr="00C76F29" w:rsidRDefault="00C76F29" w:rsidP="00C76F29">
      <w:pPr>
        <w:spacing w:before="100" w:beforeAutospacing="1" w:after="100" w:afterAutospacing="1" w:line="360" w:lineRule="auto"/>
        <w:ind w:firstLine="284"/>
        <w:jc w:val="both"/>
        <w:rPr>
          <w:rFonts w:ascii="Times New Roman" w:eastAsia="Times New Roman" w:hAnsi="Times New Roman" w:cs="Times New Roman"/>
          <w:sz w:val="24"/>
          <w:szCs w:val="24"/>
          <w:lang w:eastAsia="es-VE"/>
        </w:rPr>
      </w:pPr>
    </w:p>
    <w:p w:rsidR="00C76F29" w:rsidRPr="00C76F29" w:rsidRDefault="00C76F29" w:rsidP="00C76F29">
      <w:pPr>
        <w:spacing w:before="100" w:beforeAutospacing="1" w:after="100" w:afterAutospacing="1" w:line="360" w:lineRule="auto"/>
        <w:ind w:firstLine="284"/>
        <w:jc w:val="both"/>
        <w:rPr>
          <w:rFonts w:ascii="Times New Roman" w:eastAsia="Times New Roman" w:hAnsi="Times New Roman" w:cs="Times New Roman"/>
          <w:sz w:val="24"/>
          <w:szCs w:val="24"/>
          <w:lang w:eastAsia="es-VE"/>
        </w:rPr>
      </w:pPr>
      <w:r w:rsidRPr="00C76F29">
        <w:rPr>
          <w:rFonts w:ascii="Arial" w:eastAsia="Times New Roman" w:hAnsi="Arial" w:cs="Arial"/>
          <w:color w:val="000000"/>
          <w:sz w:val="24"/>
          <w:szCs w:val="24"/>
          <w:lang w:eastAsia="es-VE"/>
        </w:rPr>
        <w:t> </w:t>
      </w:r>
      <w:r w:rsidRPr="00C76F29">
        <w:rPr>
          <w:rFonts w:ascii="Arial" w:eastAsia="Times New Roman" w:hAnsi="Arial" w:cs="Arial"/>
          <w:b/>
          <w:bCs/>
          <w:color w:val="000000"/>
          <w:sz w:val="24"/>
          <w:szCs w:val="24"/>
          <w:lang w:eastAsia="es-VE"/>
        </w:rPr>
        <w:t>Bibliografía</w:t>
      </w:r>
    </w:p>
    <w:p w:rsidR="00C76F29" w:rsidRPr="00C76F29" w:rsidRDefault="00C76F29" w:rsidP="00C76F29">
      <w:pPr>
        <w:spacing w:before="100" w:beforeAutospacing="1" w:after="100" w:afterAutospacing="1" w:line="240" w:lineRule="auto"/>
        <w:ind w:left="181" w:hanging="181"/>
        <w:jc w:val="both"/>
        <w:rPr>
          <w:rFonts w:ascii="Times New Roman" w:eastAsia="Times New Roman" w:hAnsi="Times New Roman" w:cs="Times New Roman"/>
          <w:sz w:val="24"/>
          <w:szCs w:val="24"/>
          <w:lang w:eastAsia="es-VE"/>
        </w:rPr>
      </w:pPr>
      <w:r w:rsidRPr="00C76F29">
        <w:rPr>
          <w:rFonts w:ascii="Arial" w:eastAsia="Times New Roman" w:hAnsi="Arial" w:cs="Arial"/>
          <w:color w:val="000000"/>
          <w:sz w:val="24"/>
          <w:szCs w:val="24"/>
          <w:lang w:eastAsia="es-VE"/>
        </w:rPr>
        <w:t xml:space="preserve">Arismendi, Alfredo. (2006). </w:t>
      </w:r>
      <w:r w:rsidRPr="00C76F29">
        <w:rPr>
          <w:rFonts w:ascii="Arial" w:eastAsia="Times New Roman" w:hAnsi="Arial" w:cs="Arial"/>
          <w:b/>
          <w:bCs/>
          <w:color w:val="000000"/>
          <w:sz w:val="24"/>
          <w:szCs w:val="24"/>
          <w:lang w:eastAsia="es-VE"/>
        </w:rPr>
        <w:t>Derecho Constitucional.</w:t>
      </w:r>
      <w:r w:rsidRPr="00C76F29">
        <w:rPr>
          <w:rFonts w:ascii="Arial" w:eastAsia="Times New Roman" w:hAnsi="Arial" w:cs="Arial"/>
          <w:color w:val="000000"/>
          <w:sz w:val="24"/>
          <w:szCs w:val="24"/>
          <w:lang w:eastAsia="es-VE"/>
        </w:rPr>
        <w:t xml:space="preserve"> Caracas – Venezuela: Publicaciones Facultad de Ciencias Jurídicas y Políticas Universidad Central de Venezuela.</w:t>
      </w:r>
    </w:p>
    <w:p w:rsidR="00C76F29" w:rsidRPr="00C76F29" w:rsidRDefault="00C76F29" w:rsidP="00C76F29">
      <w:pPr>
        <w:spacing w:before="100" w:beforeAutospacing="1" w:after="100" w:afterAutospacing="1" w:line="240" w:lineRule="auto"/>
        <w:ind w:left="181" w:hanging="181"/>
        <w:jc w:val="both"/>
        <w:rPr>
          <w:rFonts w:ascii="Times New Roman" w:eastAsia="Times New Roman" w:hAnsi="Times New Roman" w:cs="Times New Roman"/>
          <w:sz w:val="24"/>
          <w:szCs w:val="24"/>
          <w:lang w:eastAsia="es-VE"/>
        </w:rPr>
      </w:pPr>
      <w:r w:rsidRPr="00C76F29">
        <w:rPr>
          <w:rFonts w:ascii="Arial" w:eastAsia="Times New Roman" w:hAnsi="Arial" w:cs="Arial"/>
          <w:color w:val="000000"/>
          <w:sz w:val="24"/>
          <w:szCs w:val="24"/>
          <w:lang w:eastAsia="es-VE"/>
        </w:rPr>
        <w:t xml:space="preserve">Constitución de la República Bolivariana de Venezuela. (1999). </w:t>
      </w:r>
      <w:r w:rsidRPr="00C76F29">
        <w:rPr>
          <w:rFonts w:ascii="Times New Roman" w:eastAsia="Times New Roman" w:hAnsi="Times New Roman" w:cs="Times New Roman"/>
          <w:b/>
          <w:bCs/>
          <w:sz w:val="24"/>
          <w:szCs w:val="24"/>
          <w:lang w:eastAsia="es-VE"/>
        </w:rPr>
        <w:t>Gaceta Oficial de la República Bolivariana de Venezuela Extraordinaria, 5.453,</w:t>
      </w:r>
      <w:r w:rsidRPr="00C76F29">
        <w:rPr>
          <w:rFonts w:ascii="Arial" w:eastAsia="Times New Roman" w:hAnsi="Arial" w:cs="Arial"/>
          <w:color w:val="000000"/>
          <w:sz w:val="24"/>
          <w:szCs w:val="24"/>
          <w:lang w:eastAsia="es-VE"/>
        </w:rPr>
        <w:t xml:space="preserve"> Marzo 24, 2000.</w:t>
      </w:r>
    </w:p>
    <w:p w:rsidR="00C76F29" w:rsidRPr="00C76F29" w:rsidRDefault="00C76F29" w:rsidP="00C76F29">
      <w:pPr>
        <w:spacing w:before="100" w:beforeAutospacing="1" w:after="100" w:afterAutospacing="1" w:line="240" w:lineRule="auto"/>
        <w:ind w:left="181" w:hanging="181"/>
        <w:jc w:val="both"/>
        <w:rPr>
          <w:rFonts w:ascii="Times New Roman" w:eastAsia="Times New Roman" w:hAnsi="Times New Roman" w:cs="Times New Roman"/>
          <w:sz w:val="24"/>
          <w:szCs w:val="24"/>
          <w:lang w:eastAsia="es-VE"/>
        </w:rPr>
      </w:pPr>
      <w:r w:rsidRPr="00C76F29">
        <w:rPr>
          <w:rFonts w:ascii="Arial" w:eastAsia="Times New Roman" w:hAnsi="Arial" w:cs="Arial"/>
          <w:color w:val="000000"/>
          <w:sz w:val="24"/>
          <w:szCs w:val="24"/>
          <w:lang w:eastAsia="es-VE"/>
        </w:rPr>
        <w:t xml:space="preserve">Brewer-Carías, Allan. (2004). </w:t>
      </w:r>
      <w:r w:rsidRPr="00C76F29">
        <w:rPr>
          <w:rFonts w:ascii="Times New Roman" w:eastAsia="Times New Roman" w:hAnsi="Times New Roman" w:cs="Times New Roman"/>
          <w:b/>
          <w:bCs/>
          <w:sz w:val="24"/>
          <w:szCs w:val="24"/>
          <w:lang w:eastAsia="es-VE"/>
        </w:rPr>
        <w:t>La Constitución de1999, Derecho Constitucional venezolano.</w:t>
      </w:r>
      <w:r w:rsidRPr="00C76F29">
        <w:rPr>
          <w:rFonts w:ascii="Arial" w:eastAsia="Times New Roman" w:hAnsi="Arial" w:cs="Arial"/>
          <w:color w:val="000000"/>
          <w:sz w:val="24"/>
          <w:szCs w:val="24"/>
          <w:lang w:eastAsia="es-VE"/>
        </w:rPr>
        <w:t xml:space="preserve"> Caracas – Venezuela: Tomo I, Editorial Jurídica Venezolana.</w:t>
      </w:r>
    </w:p>
    <w:p w:rsidR="00C76F29" w:rsidRPr="00C76F29" w:rsidRDefault="00C76F29" w:rsidP="00C76F29">
      <w:pPr>
        <w:spacing w:before="100" w:beforeAutospacing="1" w:after="100" w:afterAutospacing="1" w:line="240" w:lineRule="auto"/>
        <w:ind w:left="181" w:hanging="181"/>
        <w:jc w:val="both"/>
        <w:rPr>
          <w:rFonts w:ascii="Times New Roman" w:eastAsia="Times New Roman" w:hAnsi="Times New Roman" w:cs="Times New Roman"/>
          <w:sz w:val="24"/>
          <w:szCs w:val="24"/>
          <w:lang w:eastAsia="es-VE"/>
        </w:rPr>
      </w:pPr>
      <w:r w:rsidRPr="00C76F29">
        <w:rPr>
          <w:rFonts w:ascii="Arial" w:eastAsia="Times New Roman" w:hAnsi="Arial" w:cs="Arial"/>
          <w:color w:val="000000"/>
          <w:sz w:val="24"/>
          <w:szCs w:val="24"/>
          <w:lang w:eastAsia="es-VE"/>
        </w:rPr>
        <w:t xml:space="preserve">Fajardo, Angel. (2007). </w:t>
      </w:r>
      <w:r w:rsidRPr="00C76F29">
        <w:rPr>
          <w:rFonts w:ascii="Times New Roman" w:eastAsia="Times New Roman" w:hAnsi="Times New Roman" w:cs="Times New Roman"/>
          <w:b/>
          <w:bCs/>
          <w:sz w:val="24"/>
          <w:szCs w:val="24"/>
          <w:lang w:eastAsia="es-VE"/>
        </w:rPr>
        <w:t>Principios de Derecho Constitucional General y venezolano.</w:t>
      </w:r>
      <w:r w:rsidRPr="00C76F29">
        <w:rPr>
          <w:rFonts w:ascii="Arial" w:eastAsia="Times New Roman" w:hAnsi="Arial" w:cs="Arial"/>
          <w:color w:val="000000"/>
          <w:sz w:val="24"/>
          <w:szCs w:val="24"/>
          <w:lang w:eastAsia="es-VE"/>
        </w:rPr>
        <w:t xml:space="preserve"> Caracas – Venezuela.</w:t>
      </w:r>
    </w:p>
    <w:p w:rsidR="00C76F29" w:rsidRPr="00C76F29" w:rsidRDefault="00C76F29" w:rsidP="00C76F29">
      <w:pPr>
        <w:pBdr>
          <w:top w:val="single" w:sz="6" w:space="1" w:color="auto"/>
        </w:pBdr>
        <w:spacing w:after="0" w:line="240" w:lineRule="auto"/>
        <w:jc w:val="center"/>
        <w:rPr>
          <w:rFonts w:ascii="Arial" w:eastAsia="Times New Roman" w:hAnsi="Arial" w:cs="Arial"/>
          <w:vanish/>
          <w:sz w:val="16"/>
          <w:szCs w:val="16"/>
          <w:lang w:eastAsia="es-VE"/>
        </w:rPr>
      </w:pPr>
      <w:r w:rsidRPr="00C76F29">
        <w:rPr>
          <w:rFonts w:ascii="Arial" w:eastAsia="Times New Roman" w:hAnsi="Arial" w:cs="Arial"/>
          <w:vanish/>
          <w:sz w:val="16"/>
          <w:szCs w:val="16"/>
          <w:lang w:eastAsia="es-VE"/>
        </w:rPr>
        <w:t>Final del formulario</w:t>
      </w:r>
    </w:p>
    <w:p w:rsidR="00C76F29" w:rsidRPr="00C76F29" w:rsidRDefault="00C76F29" w:rsidP="003E0A75">
      <w:pPr>
        <w:spacing w:before="100" w:beforeAutospacing="1" w:after="100" w:afterAutospacing="1" w:line="240" w:lineRule="auto"/>
        <w:rPr>
          <w:rFonts w:ascii="Times New Roman" w:eastAsia="Times New Roman" w:hAnsi="Times New Roman" w:cs="Times New Roman"/>
          <w:sz w:val="24"/>
          <w:szCs w:val="24"/>
          <w:lang w:eastAsia="es-VE"/>
        </w:rPr>
      </w:pPr>
    </w:p>
    <w:sectPr w:rsidR="00C76F29" w:rsidRPr="00C76F2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5D1A" w:rsidRDefault="00685D1A" w:rsidP="00C76F29">
      <w:pPr>
        <w:spacing w:after="0" w:line="240" w:lineRule="auto"/>
      </w:pPr>
      <w:r>
        <w:separator/>
      </w:r>
    </w:p>
  </w:endnote>
  <w:endnote w:type="continuationSeparator" w:id="0">
    <w:p w:rsidR="00685D1A" w:rsidRDefault="00685D1A" w:rsidP="00C76F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5D1A" w:rsidRDefault="00685D1A" w:rsidP="00C76F29">
      <w:pPr>
        <w:spacing w:after="0" w:line="240" w:lineRule="auto"/>
      </w:pPr>
      <w:r>
        <w:separator/>
      </w:r>
    </w:p>
  </w:footnote>
  <w:footnote w:type="continuationSeparator" w:id="0">
    <w:p w:rsidR="00685D1A" w:rsidRDefault="00685D1A" w:rsidP="00C76F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760D4F"/>
    <w:multiLevelType w:val="multilevel"/>
    <w:tmpl w:val="812E6A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9011E1A"/>
    <w:multiLevelType w:val="multilevel"/>
    <w:tmpl w:val="0340F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2F97EB7"/>
    <w:multiLevelType w:val="multilevel"/>
    <w:tmpl w:val="31C2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F493D0B"/>
    <w:multiLevelType w:val="multilevel"/>
    <w:tmpl w:val="3112D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F293506"/>
    <w:multiLevelType w:val="multilevel"/>
    <w:tmpl w:val="E64CB4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36C45A1"/>
    <w:multiLevelType w:val="multilevel"/>
    <w:tmpl w:val="DCBC9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F29"/>
    <w:rsid w:val="003E0A75"/>
    <w:rsid w:val="00583FF4"/>
    <w:rsid w:val="00685D1A"/>
    <w:rsid w:val="009D03D0"/>
    <w:rsid w:val="009E0584"/>
    <w:rsid w:val="00BC2BDB"/>
    <w:rsid w:val="00C76F29"/>
    <w:rsid w:val="00E14FB4"/>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76F2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76F29"/>
    <w:rPr>
      <w:rFonts w:ascii="Tahoma" w:hAnsi="Tahoma" w:cs="Tahoma"/>
      <w:sz w:val="16"/>
      <w:szCs w:val="16"/>
    </w:rPr>
  </w:style>
  <w:style w:type="paragraph" w:styleId="Encabezado">
    <w:name w:val="header"/>
    <w:basedOn w:val="Normal"/>
    <w:link w:val="EncabezadoCar"/>
    <w:uiPriority w:val="99"/>
    <w:unhideWhenUsed/>
    <w:rsid w:val="00C76F2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76F29"/>
  </w:style>
  <w:style w:type="paragraph" w:styleId="Piedepgina">
    <w:name w:val="footer"/>
    <w:basedOn w:val="Normal"/>
    <w:link w:val="PiedepginaCar"/>
    <w:uiPriority w:val="99"/>
    <w:unhideWhenUsed/>
    <w:rsid w:val="00C76F2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76F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76F2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76F29"/>
    <w:rPr>
      <w:rFonts w:ascii="Tahoma" w:hAnsi="Tahoma" w:cs="Tahoma"/>
      <w:sz w:val="16"/>
      <w:szCs w:val="16"/>
    </w:rPr>
  </w:style>
  <w:style w:type="paragraph" w:styleId="Encabezado">
    <w:name w:val="header"/>
    <w:basedOn w:val="Normal"/>
    <w:link w:val="EncabezadoCar"/>
    <w:uiPriority w:val="99"/>
    <w:unhideWhenUsed/>
    <w:rsid w:val="00C76F2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76F29"/>
  </w:style>
  <w:style w:type="paragraph" w:styleId="Piedepgina">
    <w:name w:val="footer"/>
    <w:basedOn w:val="Normal"/>
    <w:link w:val="PiedepginaCar"/>
    <w:uiPriority w:val="99"/>
    <w:unhideWhenUsed/>
    <w:rsid w:val="00C76F2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76F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1758291">
      <w:bodyDiv w:val="1"/>
      <w:marLeft w:val="0"/>
      <w:marRight w:val="0"/>
      <w:marTop w:val="0"/>
      <w:marBottom w:val="0"/>
      <w:divBdr>
        <w:top w:val="none" w:sz="0" w:space="0" w:color="auto"/>
        <w:left w:val="none" w:sz="0" w:space="0" w:color="auto"/>
        <w:bottom w:val="none" w:sz="0" w:space="0" w:color="auto"/>
        <w:right w:val="none" w:sz="0" w:space="0" w:color="auto"/>
      </w:divBdr>
      <w:divsChild>
        <w:div w:id="644430219">
          <w:marLeft w:val="0"/>
          <w:marRight w:val="0"/>
          <w:marTop w:val="0"/>
          <w:marBottom w:val="0"/>
          <w:divBdr>
            <w:top w:val="none" w:sz="0" w:space="0" w:color="auto"/>
            <w:left w:val="none" w:sz="0" w:space="0" w:color="auto"/>
            <w:bottom w:val="none" w:sz="0" w:space="0" w:color="auto"/>
            <w:right w:val="none" w:sz="0" w:space="0" w:color="auto"/>
          </w:divBdr>
          <w:divsChild>
            <w:div w:id="410927860">
              <w:marLeft w:val="0"/>
              <w:marRight w:val="0"/>
              <w:marTop w:val="0"/>
              <w:marBottom w:val="0"/>
              <w:divBdr>
                <w:top w:val="none" w:sz="0" w:space="0" w:color="auto"/>
                <w:left w:val="none" w:sz="0" w:space="0" w:color="auto"/>
                <w:bottom w:val="none" w:sz="0" w:space="0" w:color="auto"/>
                <w:right w:val="none" w:sz="0" w:space="0" w:color="auto"/>
              </w:divBdr>
              <w:divsChild>
                <w:div w:id="1269657891">
                  <w:marLeft w:val="0"/>
                  <w:marRight w:val="0"/>
                  <w:marTop w:val="0"/>
                  <w:marBottom w:val="0"/>
                  <w:divBdr>
                    <w:top w:val="none" w:sz="0" w:space="0" w:color="auto"/>
                    <w:left w:val="none" w:sz="0" w:space="0" w:color="auto"/>
                    <w:bottom w:val="none" w:sz="0" w:space="0" w:color="auto"/>
                    <w:right w:val="none" w:sz="0" w:space="0" w:color="auto"/>
                  </w:divBdr>
                  <w:divsChild>
                    <w:div w:id="995183830">
                      <w:marLeft w:val="0"/>
                      <w:marRight w:val="0"/>
                      <w:marTop w:val="0"/>
                      <w:marBottom w:val="0"/>
                      <w:divBdr>
                        <w:top w:val="none" w:sz="0" w:space="0" w:color="auto"/>
                        <w:left w:val="none" w:sz="0" w:space="0" w:color="auto"/>
                        <w:bottom w:val="none" w:sz="0" w:space="0" w:color="auto"/>
                        <w:right w:val="none" w:sz="0" w:space="0" w:color="auto"/>
                      </w:divBdr>
                    </w:div>
                    <w:div w:id="1509715251">
                      <w:marLeft w:val="0"/>
                      <w:marRight w:val="0"/>
                      <w:marTop w:val="0"/>
                      <w:marBottom w:val="0"/>
                      <w:divBdr>
                        <w:top w:val="none" w:sz="0" w:space="0" w:color="auto"/>
                        <w:left w:val="none" w:sz="0" w:space="0" w:color="auto"/>
                        <w:bottom w:val="none" w:sz="0" w:space="0" w:color="auto"/>
                        <w:right w:val="none" w:sz="0" w:space="0" w:color="auto"/>
                      </w:divBdr>
                      <w:divsChild>
                        <w:div w:id="1005743030">
                          <w:marLeft w:val="0"/>
                          <w:marRight w:val="0"/>
                          <w:marTop w:val="0"/>
                          <w:marBottom w:val="0"/>
                          <w:divBdr>
                            <w:top w:val="none" w:sz="0" w:space="0" w:color="auto"/>
                            <w:left w:val="none" w:sz="0" w:space="0" w:color="auto"/>
                            <w:bottom w:val="none" w:sz="0" w:space="0" w:color="auto"/>
                            <w:right w:val="none" w:sz="0" w:space="0" w:color="auto"/>
                          </w:divBdr>
                        </w:div>
                        <w:div w:id="1854608971">
                          <w:marLeft w:val="0"/>
                          <w:marRight w:val="0"/>
                          <w:marTop w:val="0"/>
                          <w:marBottom w:val="0"/>
                          <w:divBdr>
                            <w:top w:val="none" w:sz="0" w:space="0" w:color="auto"/>
                            <w:left w:val="none" w:sz="0" w:space="0" w:color="auto"/>
                            <w:bottom w:val="none" w:sz="0" w:space="0" w:color="auto"/>
                            <w:right w:val="none" w:sz="0" w:space="0" w:color="auto"/>
                          </w:divBdr>
                        </w:div>
                      </w:divsChild>
                    </w:div>
                    <w:div w:id="1442143344">
                      <w:marLeft w:val="0"/>
                      <w:marRight w:val="0"/>
                      <w:marTop w:val="0"/>
                      <w:marBottom w:val="0"/>
                      <w:divBdr>
                        <w:top w:val="none" w:sz="0" w:space="0" w:color="auto"/>
                        <w:left w:val="none" w:sz="0" w:space="0" w:color="auto"/>
                        <w:bottom w:val="none" w:sz="0" w:space="0" w:color="auto"/>
                        <w:right w:val="none" w:sz="0" w:space="0" w:color="auto"/>
                      </w:divBdr>
                    </w:div>
                  </w:divsChild>
                </w:div>
                <w:div w:id="450520084">
                  <w:marLeft w:val="0"/>
                  <w:marRight w:val="0"/>
                  <w:marTop w:val="0"/>
                  <w:marBottom w:val="0"/>
                  <w:divBdr>
                    <w:top w:val="none" w:sz="0" w:space="0" w:color="auto"/>
                    <w:left w:val="none" w:sz="0" w:space="0" w:color="auto"/>
                    <w:bottom w:val="none" w:sz="0" w:space="0" w:color="auto"/>
                    <w:right w:val="none" w:sz="0" w:space="0" w:color="auto"/>
                  </w:divBdr>
                  <w:divsChild>
                    <w:div w:id="1297907380">
                      <w:marLeft w:val="0"/>
                      <w:marRight w:val="0"/>
                      <w:marTop w:val="0"/>
                      <w:marBottom w:val="0"/>
                      <w:divBdr>
                        <w:top w:val="none" w:sz="0" w:space="0" w:color="auto"/>
                        <w:left w:val="none" w:sz="0" w:space="0" w:color="auto"/>
                        <w:bottom w:val="none" w:sz="0" w:space="0" w:color="auto"/>
                        <w:right w:val="none" w:sz="0" w:space="0" w:color="auto"/>
                      </w:divBdr>
                      <w:divsChild>
                        <w:div w:id="1546983718">
                          <w:marLeft w:val="0"/>
                          <w:marRight w:val="0"/>
                          <w:marTop w:val="0"/>
                          <w:marBottom w:val="0"/>
                          <w:divBdr>
                            <w:top w:val="none" w:sz="0" w:space="0" w:color="auto"/>
                            <w:left w:val="none" w:sz="0" w:space="0" w:color="auto"/>
                            <w:bottom w:val="none" w:sz="0" w:space="0" w:color="auto"/>
                            <w:right w:val="none" w:sz="0" w:space="0" w:color="auto"/>
                          </w:divBdr>
                          <w:divsChild>
                            <w:div w:id="1964186108">
                              <w:marLeft w:val="0"/>
                              <w:marRight w:val="0"/>
                              <w:marTop w:val="0"/>
                              <w:marBottom w:val="0"/>
                              <w:divBdr>
                                <w:top w:val="none" w:sz="0" w:space="0" w:color="auto"/>
                                <w:left w:val="none" w:sz="0" w:space="0" w:color="auto"/>
                                <w:bottom w:val="none" w:sz="0" w:space="0" w:color="auto"/>
                                <w:right w:val="none" w:sz="0" w:space="0" w:color="auto"/>
                              </w:divBdr>
                              <w:divsChild>
                                <w:div w:id="138227127">
                                  <w:marLeft w:val="0"/>
                                  <w:marRight w:val="0"/>
                                  <w:marTop w:val="0"/>
                                  <w:marBottom w:val="0"/>
                                  <w:divBdr>
                                    <w:top w:val="none" w:sz="0" w:space="0" w:color="auto"/>
                                    <w:left w:val="none" w:sz="0" w:space="0" w:color="auto"/>
                                    <w:bottom w:val="none" w:sz="0" w:space="0" w:color="auto"/>
                                    <w:right w:val="none" w:sz="0" w:space="0" w:color="auto"/>
                                  </w:divBdr>
                                </w:div>
                                <w:div w:id="1710453554">
                                  <w:marLeft w:val="0"/>
                                  <w:marRight w:val="0"/>
                                  <w:marTop w:val="0"/>
                                  <w:marBottom w:val="0"/>
                                  <w:divBdr>
                                    <w:top w:val="none" w:sz="0" w:space="0" w:color="auto"/>
                                    <w:left w:val="none" w:sz="0" w:space="0" w:color="auto"/>
                                    <w:bottom w:val="none" w:sz="0" w:space="0" w:color="auto"/>
                                    <w:right w:val="none" w:sz="0" w:space="0" w:color="auto"/>
                                  </w:divBdr>
                                </w:div>
                              </w:divsChild>
                            </w:div>
                            <w:div w:id="1047946612">
                              <w:marLeft w:val="0"/>
                              <w:marRight w:val="0"/>
                              <w:marTop w:val="0"/>
                              <w:marBottom w:val="0"/>
                              <w:divBdr>
                                <w:top w:val="none" w:sz="0" w:space="0" w:color="auto"/>
                                <w:left w:val="none" w:sz="0" w:space="0" w:color="auto"/>
                                <w:bottom w:val="none" w:sz="0" w:space="0" w:color="auto"/>
                                <w:right w:val="none" w:sz="0" w:space="0" w:color="auto"/>
                              </w:divBdr>
                              <w:divsChild>
                                <w:div w:id="1621959307">
                                  <w:marLeft w:val="0"/>
                                  <w:marRight w:val="0"/>
                                  <w:marTop w:val="0"/>
                                  <w:marBottom w:val="0"/>
                                  <w:divBdr>
                                    <w:top w:val="none" w:sz="0" w:space="0" w:color="auto"/>
                                    <w:left w:val="none" w:sz="0" w:space="0" w:color="auto"/>
                                    <w:bottom w:val="none" w:sz="0" w:space="0" w:color="auto"/>
                                    <w:right w:val="none" w:sz="0" w:space="0" w:color="auto"/>
                                  </w:divBdr>
                                </w:div>
                                <w:div w:id="1038050455">
                                  <w:marLeft w:val="0"/>
                                  <w:marRight w:val="0"/>
                                  <w:marTop w:val="0"/>
                                  <w:marBottom w:val="0"/>
                                  <w:divBdr>
                                    <w:top w:val="none" w:sz="0" w:space="0" w:color="auto"/>
                                    <w:left w:val="none" w:sz="0" w:space="0" w:color="auto"/>
                                    <w:bottom w:val="none" w:sz="0" w:space="0" w:color="auto"/>
                                    <w:right w:val="none" w:sz="0" w:space="0" w:color="auto"/>
                                  </w:divBdr>
                                </w:div>
                                <w:div w:id="108285239">
                                  <w:marLeft w:val="0"/>
                                  <w:marRight w:val="0"/>
                                  <w:marTop w:val="0"/>
                                  <w:marBottom w:val="0"/>
                                  <w:divBdr>
                                    <w:top w:val="none" w:sz="0" w:space="0" w:color="auto"/>
                                    <w:left w:val="none" w:sz="0" w:space="0" w:color="auto"/>
                                    <w:bottom w:val="none" w:sz="0" w:space="0" w:color="auto"/>
                                    <w:right w:val="none" w:sz="0" w:space="0" w:color="auto"/>
                                  </w:divBdr>
                                  <w:divsChild>
                                    <w:div w:id="237639980">
                                      <w:marLeft w:val="0"/>
                                      <w:marRight w:val="0"/>
                                      <w:marTop w:val="150"/>
                                      <w:marBottom w:val="150"/>
                                      <w:divBdr>
                                        <w:top w:val="none" w:sz="0" w:space="0" w:color="auto"/>
                                        <w:left w:val="none" w:sz="0" w:space="0" w:color="auto"/>
                                        <w:bottom w:val="none" w:sz="0" w:space="0" w:color="auto"/>
                                        <w:right w:val="none" w:sz="0" w:space="0" w:color="auto"/>
                                      </w:divBdr>
                                    </w:div>
                                    <w:div w:id="1154024165">
                                      <w:marLeft w:val="0"/>
                                      <w:marRight w:val="0"/>
                                      <w:marTop w:val="0"/>
                                      <w:marBottom w:val="0"/>
                                      <w:divBdr>
                                        <w:top w:val="none" w:sz="0" w:space="0" w:color="auto"/>
                                        <w:left w:val="none" w:sz="0" w:space="0" w:color="auto"/>
                                        <w:bottom w:val="none" w:sz="0" w:space="0" w:color="auto"/>
                                        <w:right w:val="none" w:sz="0" w:space="0" w:color="auto"/>
                                      </w:divBdr>
                                      <w:divsChild>
                                        <w:div w:id="877469671">
                                          <w:marLeft w:val="0"/>
                                          <w:marRight w:val="0"/>
                                          <w:marTop w:val="0"/>
                                          <w:marBottom w:val="0"/>
                                          <w:divBdr>
                                            <w:top w:val="none" w:sz="0" w:space="0" w:color="auto"/>
                                            <w:left w:val="none" w:sz="0" w:space="0" w:color="auto"/>
                                            <w:bottom w:val="none" w:sz="0" w:space="0" w:color="auto"/>
                                            <w:right w:val="none" w:sz="0" w:space="0" w:color="auto"/>
                                          </w:divBdr>
                                          <w:divsChild>
                                            <w:div w:id="1386296372">
                                              <w:marLeft w:val="0"/>
                                              <w:marRight w:val="0"/>
                                              <w:marTop w:val="0"/>
                                              <w:marBottom w:val="0"/>
                                              <w:divBdr>
                                                <w:top w:val="none" w:sz="0" w:space="0" w:color="auto"/>
                                                <w:left w:val="none" w:sz="0" w:space="0" w:color="auto"/>
                                                <w:bottom w:val="none" w:sz="0" w:space="0" w:color="auto"/>
                                                <w:right w:val="none" w:sz="0" w:space="0" w:color="auto"/>
                                              </w:divBdr>
                                              <w:divsChild>
                                                <w:div w:id="1036203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674534">
                                          <w:marLeft w:val="0"/>
                                          <w:marRight w:val="0"/>
                                          <w:marTop w:val="0"/>
                                          <w:marBottom w:val="0"/>
                                          <w:divBdr>
                                            <w:top w:val="none" w:sz="0" w:space="0" w:color="auto"/>
                                            <w:left w:val="none" w:sz="0" w:space="0" w:color="auto"/>
                                            <w:bottom w:val="none" w:sz="0" w:space="0" w:color="auto"/>
                                            <w:right w:val="none" w:sz="0" w:space="0" w:color="auto"/>
                                          </w:divBdr>
                                          <w:divsChild>
                                            <w:div w:id="206216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399462">
                                  <w:marLeft w:val="0"/>
                                  <w:marRight w:val="0"/>
                                  <w:marTop w:val="0"/>
                                  <w:marBottom w:val="0"/>
                                  <w:divBdr>
                                    <w:top w:val="none" w:sz="0" w:space="0" w:color="auto"/>
                                    <w:left w:val="none" w:sz="0" w:space="0" w:color="auto"/>
                                    <w:bottom w:val="none" w:sz="0" w:space="0" w:color="auto"/>
                                    <w:right w:val="none" w:sz="0" w:space="0" w:color="auto"/>
                                  </w:divBdr>
                                </w:div>
                              </w:divsChild>
                            </w:div>
                            <w:div w:id="1768455893">
                              <w:marLeft w:val="0"/>
                              <w:marRight w:val="0"/>
                              <w:marTop w:val="0"/>
                              <w:marBottom w:val="0"/>
                              <w:divBdr>
                                <w:top w:val="none" w:sz="0" w:space="0" w:color="auto"/>
                                <w:left w:val="none" w:sz="0" w:space="0" w:color="auto"/>
                                <w:bottom w:val="none" w:sz="0" w:space="0" w:color="auto"/>
                                <w:right w:val="none" w:sz="0" w:space="0" w:color="auto"/>
                              </w:divBdr>
                              <w:divsChild>
                                <w:div w:id="1480802902">
                                  <w:marLeft w:val="0"/>
                                  <w:marRight w:val="0"/>
                                  <w:marTop w:val="0"/>
                                  <w:marBottom w:val="0"/>
                                  <w:divBdr>
                                    <w:top w:val="none" w:sz="0" w:space="0" w:color="auto"/>
                                    <w:left w:val="none" w:sz="0" w:space="0" w:color="auto"/>
                                    <w:bottom w:val="none" w:sz="0" w:space="0" w:color="auto"/>
                                    <w:right w:val="none" w:sz="0" w:space="0" w:color="auto"/>
                                  </w:divBdr>
                                  <w:divsChild>
                                    <w:div w:id="1430851194">
                                      <w:marLeft w:val="0"/>
                                      <w:marRight w:val="0"/>
                                      <w:marTop w:val="0"/>
                                      <w:marBottom w:val="0"/>
                                      <w:divBdr>
                                        <w:top w:val="none" w:sz="0" w:space="0" w:color="auto"/>
                                        <w:left w:val="none" w:sz="0" w:space="0" w:color="auto"/>
                                        <w:bottom w:val="none" w:sz="0" w:space="0" w:color="auto"/>
                                        <w:right w:val="none" w:sz="0" w:space="0" w:color="auto"/>
                                      </w:divBdr>
                                      <w:divsChild>
                                        <w:div w:id="103056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3641104">
                      <w:marLeft w:val="0"/>
                      <w:marRight w:val="0"/>
                      <w:marTop w:val="0"/>
                      <w:marBottom w:val="0"/>
                      <w:divBdr>
                        <w:top w:val="none" w:sz="0" w:space="0" w:color="auto"/>
                        <w:left w:val="none" w:sz="0" w:space="0" w:color="auto"/>
                        <w:bottom w:val="none" w:sz="0" w:space="0" w:color="auto"/>
                        <w:right w:val="none" w:sz="0" w:space="0" w:color="auto"/>
                      </w:divBdr>
                    </w:div>
                    <w:div w:id="14506194">
                      <w:marLeft w:val="0"/>
                      <w:marRight w:val="0"/>
                      <w:marTop w:val="0"/>
                      <w:marBottom w:val="0"/>
                      <w:divBdr>
                        <w:top w:val="none" w:sz="0" w:space="0" w:color="auto"/>
                        <w:left w:val="none" w:sz="0" w:space="0" w:color="auto"/>
                        <w:bottom w:val="none" w:sz="0" w:space="0" w:color="auto"/>
                        <w:right w:val="none" w:sz="0" w:space="0" w:color="auto"/>
                      </w:divBdr>
                      <w:divsChild>
                        <w:div w:id="1090925745">
                          <w:marLeft w:val="0"/>
                          <w:marRight w:val="0"/>
                          <w:marTop w:val="0"/>
                          <w:marBottom w:val="0"/>
                          <w:divBdr>
                            <w:top w:val="none" w:sz="0" w:space="0" w:color="auto"/>
                            <w:left w:val="none" w:sz="0" w:space="0" w:color="auto"/>
                            <w:bottom w:val="none" w:sz="0" w:space="0" w:color="auto"/>
                            <w:right w:val="none" w:sz="0" w:space="0" w:color="auto"/>
                          </w:divBdr>
                        </w:div>
                        <w:div w:id="108357680">
                          <w:marLeft w:val="0"/>
                          <w:marRight w:val="0"/>
                          <w:marTop w:val="0"/>
                          <w:marBottom w:val="0"/>
                          <w:divBdr>
                            <w:top w:val="none" w:sz="0" w:space="0" w:color="auto"/>
                            <w:left w:val="none" w:sz="0" w:space="0" w:color="auto"/>
                            <w:bottom w:val="none" w:sz="0" w:space="0" w:color="auto"/>
                            <w:right w:val="none" w:sz="0" w:space="0" w:color="auto"/>
                          </w:divBdr>
                        </w:div>
                        <w:div w:id="51288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273665">
                  <w:marLeft w:val="0"/>
                  <w:marRight w:val="0"/>
                  <w:marTop w:val="0"/>
                  <w:marBottom w:val="0"/>
                  <w:divBdr>
                    <w:top w:val="none" w:sz="0" w:space="0" w:color="auto"/>
                    <w:left w:val="none" w:sz="0" w:space="0" w:color="auto"/>
                    <w:bottom w:val="none" w:sz="0" w:space="0" w:color="auto"/>
                    <w:right w:val="none" w:sz="0" w:space="0" w:color="auto"/>
                  </w:divBdr>
                  <w:divsChild>
                    <w:div w:id="832909767">
                      <w:marLeft w:val="0"/>
                      <w:marRight w:val="0"/>
                      <w:marTop w:val="0"/>
                      <w:marBottom w:val="0"/>
                      <w:divBdr>
                        <w:top w:val="none" w:sz="0" w:space="0" w:color="auto"/>
                        <w:left w:val="none" w:sz="0" w:space="0" w:color="auto"/>
                        <w:bottom w:val="none" w:sz="0" w:space="0" w:color="auto"/>
                        <w:right w:val="none" w:sz="0" w:space="0" w:color="auto"/>
                      </w:divBdr>
                      <w:divsChild>
                        <w:div w:id="2112162378">
                          <w:marLeft w:val="0"/>
                          <w:marRight w:val="0"/>
                          <w:marTop w:val="0"/>
                          <w:marBottom w:val="0"/>
                          <w:divBdr>
                            <w:top w:val="none" w:sz="0" w:space="0" w:color="auto"/>
                            <w:left w:val="none" w:sz="0" w:space="0" w:color="auto"/>
                            <w:bottom w:val="none" w:sz="0" w:space="0" w:color="auto"/>
                            <w:right w:val="none" w:sz="0" w:space="0" w:color="auto"/>
                          </w:divBdr>
                          <w:divsChild>
                            <w:div w:id="1183475770">
                              <w:marLeft w:val="0"/>
                              <w:marRight w:val="0"/>
                              <w:marTop w:val="0"/>
                              <w:marBottom w:val="0"/>
                              <w:divBdr>
                                <w:top w:val="none" w:sz="0" w:space="0" w:color="auto"/>
                                <w:left w:val="none" w:sz="0" w:space="0" w:color="auto"/>
                                <w:bottom w:val="none" w:sz="0" w:space="0" w:color="auto"/>
                                <w:right w:val="none" w:sz="0" w:space="0" w:color="auto"/>
                              </w:divBdr>
                              <w:divsChild>
                                <w:div w:id="1820030919">
                                  <w:marLeft w:val="0"/>
                                  <w:marRight w:val="0"/>
                                  <w:marTop w:val="0"/>
                                  <w:marBottom w:val="0"/>
                                  <w:divBdr>
                                    <w:top w:val="none" w:sz="0" w:space="0" w:color="auto"/>
                                    <w:left w:val="none" w:sz="0" w:space="0" w:color="auto"/>
                                    <w:bottom w:val="none" w:sz="0" w:space="0" w:color="auto"/>
                                    <w:right w:val="none" w:sz="0" w:space="0" w:color="auto"/>
                                  </w:divBdr>
                                  <w:divsChild>
                                    <w:div w:id="155003236">
                                      <w:marLeft w:val="0"/>
                                      <w:marRight w:val="0"/>
                                      <w:marTop w:val="0"/>
                                      <w:marBottom w:val="0"/>
                                      <w:divBdr>
                                        <w:top w:val="single" w:sz="12" w:space="0" w:color="9DCFFF"/>
                                        <w:left w:val="single" w:sz="12" w:space="0" w:color="9DCFFF"/>
                                        <w:bottom w:val="single" w:sz="12" w:space="0" w:color="9DCFFF"/>
                                        <w:right w:val="single" w:sz="12" w:space="0" w:color="9DCFFF"/>
                                      </w:divBdr>
                                      <w:divsChild>
                                        <w:div w:id="1178231263">
                                          <w:marLeft w:val="0"/>
                                          <w:marRight w:val="30"/>
                                          <w:marTop w:val="0"/>
                                          <w:marBottom w:val="0"/>
                                          <w:divBdr>
                                            <w:top w:val="none" w:sz="0" w:space="0" w:color="auto"/>
                                            <w:left w:val="none" w:sz="0" w:space="0" w:color="auto"/>
                                            <w:bottom w:val="none" w:sz="0" w:space="0" w:color="auto"/>
                                            <w:right w:val="none" w:sz="0" w:space="0" w:color="auto"/>
                                          </w:divBdr>
                                        </w:div>
                                        <w:div w:id="1549411631">
                                          <w:marLeft w:val="0"/>
                                          <w:marRight w:val="0"/>
                                          <w:marTop w:val="15"/>
                                          <w:marBottom w:val="0"/>
                                          <w:divBdr>
                                            <w:top w:val="none" w:sz="0" w:space="0" w:color="auto"/>
                                            <w:left w:val="none" w:sz="0" w:space="0" w:color="auto"/>
                                            <w:bottom w:val="none" w:sz="0" w:space="0" w:color="auto"/>
                                            <w:right w:val="none" w:sz="0" w:space="0" w:color="auto"/>
                                          </w:divBdr>
                                        </w:div>
                                        <w:div w:id="558396879">
                                          <w:marLeft w:val="0"/>
                                          <w:marRight w:val="0"/>
                                          <w:marTop w:val="0"/>
                                          <w:marBottom w:val="0"/>
                                          <w:divBdr>
                                            <w:top w:val="none" w:sz="0" w:space="0" w:color="auto"/>
                                            <w:left w:val="none" w:sz="0" w:space="0" w:color="auto"/>
                                            <w:bottom w:val="none" w:sz="0" w:space="0" w:color="auto"/>
                                            <w:right w:val="none" w:sz="0" w:space="0" w:color="auto"/>
                                          </w:divBdr>
                                        </w:div>
                                        <w:div w:id="649945091">
                                          <w:marLeft w:val="0"/>
                                          <w:marRight w:val="0"/>
                                          <w:marTop w:val="15"/>
                                          <w:marBottom w:val="0"/>
                                          <w:divBdr>
                                            <w:top w:val="none" w:sz="0" w:space="0" w:color="auto"/>
                                            <w:left w:val="none" w:sz="0" w:space="0" w:color="auto"/>
                                            <w:bottom w:val="none" w:sz="0" w:space="0" w:color="auto"/>
                                            <w:right w:val="none" w:sz="0" w:space="0" w:color="auto"/>
                                          </w:divBdr>
                                        </w:div>
                                      </w:divsChild>
                                    </w:div>
                                  </w:divsChild>
                                </w:div>
                              </w:divsChild>
                            </w:div>
                            <w:div w:id="1113480582">
                              <w:marLeft w:val="0"/>
                              <w:marRight w:val="0"/>
                              <w:marTop w:val="0"/>
                              <w:marBottom w:val="0"/>
                              <w:divBdr>
                                <w:top w:val="none" w:sz="0" w:space="0" w:color="auto"/>
                                <w:left w:val="none" w:sz="0" w:space="0" w:color="auto"/>
                                <w:bottom w:val="none" w:sz="0" w:space="0" w:color="auto"/>
                                <w:right w:val="none" w:sz="0" w:space="0" w:color="auto"/>
                              </w:divBdr>
                            </w:div>
                          </w:divsChild>
                        </w:div>
                        <w:div w:id="819616187">
                          <w:marLeft w:val="0"/>
                          <w:marRight w:val="0"/>
                          <w:marTop w:val="0"/>
                          <w:marBottom w:val="0"/>
                          <w:divBdr>
                            <w:top w:val="none" w:sz="0" w:space="0" w:color="auto"/>
                            <w:left w:val="none" w:sz="0" w:space="0" w:color="auto"/>
                            <w:bottom w:val="none" w:sz="0" w:space="0" w:color="auto"/>
                            <w:right w:val="none" w:sz="0" w:space="0" w:color="auto"/>
                          </w:divBdr>
                        </w:div>
                        <w:div w:id="10886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9571926">
          <w:marLeft w:val="0"/>
          <w:marRight w:val="0"/>
          <w:marTop w:val="0"/>
          <w:marBottom w:val="0"/>
          <w:divBdr>
            <w:top w:val="none" w:sz="0" w:space="0" w:color="auto"/>
            <w:left w:val="none" w:sz="0" w:space="0" w:color="auto"/>
            <w:bottom w:val="none" w:sz="0" w:space="0" w:color="auto"/>
            <w:right w:val="none" w:sz="0" w:space="0" w:color="auto"/>
          </w:divBdr>
          <w:divsChild>
            <w:div w:id="1833523677">
              <w:marLeft w:val="0"/>
              <w:marRight w:val="0"/>
              <w:marTop w:val="0"/>
              <w:marBottom w:val="0"/>
              <w:divBdr>
                <w:top w:val="none" w:sz="0" w:space="0" w:color="auto"/>
                <w:left w:val="none" w:sz="0" w:space="0" w:color="auto"/>
                <w:bottom w:val="none" w:sz="0" w:space="0" w:color="auto"/>
                <w:right w:val="none" w:sz="0" w:space="0" w:color="auto"/>
              </w:divBdr>
              <w:divsChild>
                <w:div w:id="686709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6</Pages>
  <Words>1558</Words>
  <Characters>8573</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10111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albero</cp:lastModifiedBy>
  <cp:revision>4</cp:revision>
  <dcterms:created xsi:type="dcterms:W3CDTF">2014-04-04T02:04:00Z</dcterms:created>
  <dcterms:modified xsi:type="dcterms:W3CDTF">2014-10-08T11:52:00Z</dcterms:modified>
</cp:coreProperties>
</file>